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COMMENTS OF</w:t>
      </w:r>
    </w:p>
    <w:p>
      <w:pPr>
        <w:pStyle w:val="Normal"/>
        <w:jc w:val="center"/>
        <w:rPr>
          <w:b/>
        </w:rPr>
      </w:pPr>
      <w:r>
        <w:rPr>
          <w:b/>
        </w:rPr>
        <w:t>ENRON ENERGY SERVICES, INC.</w:t>
      </w:r>
    </w:p>
    <w:p>
      <w:pPr>
        <w:pStyle w:val="Normal"/>
        <w:jc w:val="center"/>
        <w:rPr>
          <w:b/>
        </w:rPr>
      </w:pPr>
      <w:r>
        <w:rPr>
          <w:b/>
        </w:rPr>
        <w:t>ON DRAFT DECISION OF ALJ DEULLOA</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February 21,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DRAFT DECISION OF ALJ DEULLOA</w:t>
      </w:r>
    </w:p>
    <w:p>
      <w:pPr>
        <w:pStyle w:val="Normal"/>
        <w:rPr>
          <w:b/>
        </w:rPr>
      </w:pPr>
      <w:r>
        <w:rPr>
          <w:b/>
        </w:rPr>
      </w:r>
    </w:p>
    <w:p>
      <w:pPr>
        <w:pStyle w:val="Normal"/>
        <w:spacing w:lineRule="auto" w:line="480"/>
        <w:ind w:firstLine="720" w:end="0"/>
        <w:jc w:val="both"/>
        <w:rPr/>
      </w:pPr>
      <w:r>
        <w:rPr/>
        <w:t xml:space="preserve">In accord with the procedures set forth in the February 20, 2001 Draft Decision of Assigned Administrative Law Judge DeUlloa (“Draft Decision”), Enron Energy Services, Inc. (“Enron”) comments thereon. </w:t>
      </w:r>
    </w:p>
    <w:p>
      <w:pPr>
        <w:pStyle w:val="Normal"/>
        <w:spacing w:lineRule="auto" w:line="480"/>
        <w:jc w:val="center"/>
        <w:rPr>
          <w:b/>
        </w:rPr>
      </w:pPr>
      <w:r>
        <w:rPr>
          <w:b/>
        </w:rPr>
        <w:t>INTRODUCTION</w:t>
      </w:r>
    </w:p>
    <w:p>
      <w:pPr>
        <w:pStyle w:val="Normal"/>
        <w:spacing w:lineRule="auto" w:line="480"/>
        <w:jc w:val="both"/>
        <w:rPr/>
      </w:pPr>
      <w:r>
        <w:rPr/>
        <w:t xml:space="preserve"> </w:t>
      </w:r>
      <w:r>
        <w:rPr/>
        <w:tab/>
        <w:t>Enron’s comments focus solely on the portion of the Draft Decision that commences the process of implementing the provision in Assembly Bill X-1 suspending the execution of new direct access transactions in the state of California.  In this regard, Enron submits that the commencement of such process is unnecessary at this time.  If, however, the Commission deems it necessary to begin the process at this time, the Draft Decision should make clear that any effective date of the suspension of direct access will be subsequent to the thirty day comment period provided and the issuance of a final order on the matter.</w:t>
      </w:r>
    </w:p>
    <w:p>
      <w:pPr>
        <w:pStyle w:val="Normal"/>
        <w:spacing w:lineRule="auto" w:line="480"/>
        <w:jc w:val="center"/>
        <w:rPr>
          <w:b/>
        </w:rPr>
      </w:pPr>
      <w:r>
        <w:rPr>
          <w:b/>
        </w:rPr>
        <w:t>COMMENTS</w:t>
      </w:r>
    </w:p>
    <w:p>
      <w:pPr>
        <w:pStyle w:val="Normal"/>
        <w:spacing w:lineRule="auto" w:line="480"/>
        <w:jc w:val="both"/>
        <w:rPr/>
      </w:pPr>
      <w:r>
        <w:rPr>
          <w:b/>
        </w:rPr>
        <w:tab/>
      </w:r>
      <w:r>
        <w:rPr/>
        <w:t>In the Draft Decision, the Commission is seeking to respond to an emergency request from the California Department of Water Resources (“DWR”) with regard to the DWR’s recently legislated authorization to contract for the purchase of power for sale to end use customers in the state of California.  Through its request, DWR seeks immediate implementation of a methodology for allocating to it current generation charges paid by retail end use customers for use in its ongoing purchases of power, as well as several other authorizations connected with DWR’s provision of power.  The Draft Decision speaks to each one of DWR’s requests and serves to implement interim methodologies/procedures to address them.</w:t>
      </w:r>
    </w:p>
    <w:p>
      <w:pPr>
        <w:pStyle w:val="Normal"/>
        <w:spacing w:lineRule="auto" w:line="480"/>
        <w:jc w:val="both"/>
        <w:rPr/>
      </w:pPr>
      <w:r>
        <w:rPr/>
        <w:tab/>
        <w:t xml:space="preserve">The Draft Decision, however, goes a step farther and addresses a matter not raised by DWR in its emergency request – </w:t>
      </w:r>
      <w:r>
        <w:rPr>
          <w:i/>
        </w:rPr>
        <w:t>i.e</w:t>
      </w:r>
      <w:r>
        <w:rPr/>
        <w:t>., the suspension of direct access transactions.    Specifically, the Draft Decision notes (at page 7) that newly enacted Section 80110 of the California Water Code provides, in applicable part, that:</w:t>
      </w:r>
    </w:p>
    <w:p>
      <w:pPr>
        <w:pStyle w:val="Normal"/>
        <w:ind w:start="720" w:end="720"/>
        <w:jc w:val="both"/>
        <w:rPr/>
      </w:pPr>
      <w:r>
        <w:rPr/>
        <w:t xml:space="preserve">[a]fter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w:t>
      </w:r>
    </w:p>
    <w:p>
      <w:pPr>
        <w:pStyle w:val="Normal"/>
        <w:ind w:start="720" w:end="720"/>
        <w:jc w:val="both"/>
        <w:rPr/>
      </w:pPr>
      <w:r>
        <w:rPr/>
      </w:r>
    </w:p>
    <w:p>
      <w:pPr>
        <w:pStyle w:val="Normal"/>
        <w:spacing w:lineRule="auto" w:line="480"/>
        <w:jc w:val="both"/>
        <w:rPr/>
      </w:pPr>
      <w:r>
        <w:rPr/>
        <w:t xml:space="preserve">On this matter, the Draft Decision directs parties interested in the implementation of this clause to submit comments within thirty days addressing when the suspension should begin.   </w:t>
      </w:r>
    </w:p>
    <w:p>
      <w:pPr>
        <w:pStyle w:val="Normal"/>
        <w:spacing w:lineRule="auto" w:line="480"/>
        <w:ind w:firstLine="720" w:end="0"/>
        <w:jc w:val="both"/>
        <w:rPr/>
      </w:pPr>
      <w:r>
        <w:rPr/>
        <w:t>The commencement of such process is premature.  Currently the legislature is considering a variety of amendments to this provision in AB X-1 that would serve to allow the continuance of, and the execution of new, direct access transactions.  Until the outcome of that legislative process becomes more clear, taking comments on, and proceeding with implementing, the suspension of direct access would only add to the confusion and uncertainty already plaguing the retail market.  Accordingly, Enron submits that the portions of the Draft Decision addressing the suspension of direct access transactions should be removed.</w:t>
      </w:r>
      <w:r>
        <w:rPr>
          <w:rStyle w:val="FootnoteCharacters"/>
          <w:rStyle w:val="FootnoteReference"/>
        </w:rPr>
        <w:footnoteReference w:id="2"/>
      </w:r>
      <w:r>
        <w:rPr/>
        <w:t xml:space="preserve"> </w:t>
      </w:r>
    </w:p>
    <w:p>
      <w:pPr>
        <w:pStyle w:val="Normal"/>
        <w:spacing w:lineRule="auto" w:line="480"/>
        <w:jc w:val="both"/>
        <w:rPr/>
      </w:pPr>
      <w:r>
        <w:rPr/>
        <w:tab/>
        <w:t>If, however, the Commission determines that it must proceed with implementation of this newly enacted provision, then Enron requests that the Commission clarify that the suspension of customers’ rights to enter into direct access transactions will not be effective until after the thirty day comment period and issuance of a final Commission order addressing the issue.  Until such date, retail end use customers in the state should retain the right to enter into direct access transactions.</w:t>
      </w:r>
    </w:p>
    <w:p>
      <w:pPr>
        <w:pStyle w:val="Normal"/>
        <w:spacing w:lineRule="auto" w:line="48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Michael B. Day</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February 21, 2001</w:t>
      </w:r>
    </w:p>
    <w:p>
      <w:pPr>
        <w:pStyle w:val="Normal"/>
        <w:spacing w:lineRule="auto" w:line="480"/>
        <w:jc w:val="both"/>
        <w:rPr/>
      </w:pPr>
      <w:r>
        <w:rPr/>
      </w:r>
    </w:p>
    <w:p>
      <w:pPr>
        <w:pStyle w:val="Normal"/>
        <w:spacing w:lineRule="exact" w:line="200" w:before="240" w:after="0"/>
        <w:rPr/>
      </w:pPr>
      <w:r>
        <w:rPr>
          <w:rStyle w:val="zzmpTrailerItem"/>
        </w:rPr>
        <w:t>2704/147/X22061-1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sz w:val="24"/>
        </w:rPr>
        <w:t xml:space="preserve"> </w:t>
      </w:r>
      <w:r>
        <w:rPr>
          <w:sz w:val="24"/>
        </w:rPr>
        <w:tab/>
        <w:t xml:space="preserve">These portions are: (1) the discussion on page 7; (2) Conclusion of Law No. 8; and (3) Ordering Paragraph No. 6.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206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2001-02-21T17:51:00Z</dcterms:created>
  <dc:creator>JMB</dc:creator>
  <dc:description/>
  <dc:language>en-CA</dc:language>
  <cp:lastModifiedBy>JWM</cp:lastModifiedBy>
  <cp:lastPrinted>2001-02-21T11:44:00Z</cp:lastPrinted>
  <dcterms:modified xsi:type="dcterms:W3CDTF">2001-02-21T17:51:00Z</dcterms:modified>
  <cp:revision>2</cp:revision>
  <dc:subject/>
  <dc:title/>
</cp:coreProperties>
</file>