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2/12/01)</w:t>
      </w:r>
    </w:p>
    <w:p>
      <w:pPr>
        <w:pStyle w:val="Normal"/>
        <w:jc w:val="center"/>
        <w:rPr>
          <w:b/>
        </w:rPr>
      </w:pPr>
      <w:r>
        <w:rPr>
          <w:b/>
        </w:rPr>
        <w:t>(* indicates a change to the item or a new item)</w:t>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start="720" w:end="0"/>
        <w:jc w:val="both"/>
        <w:rPr/>
      </w:pPr>
      <w:r>
        <w:rPr/>
        <w:t>Hearings commenced in this proceeding on February 20, 2001 to deal with (a) TURN’s proposal re netting the TRA and TCBA and (2) the financial condition of the UDCs (</w:t>
      </w:r>
      <w:r>
        <w:rPr>
          <w:i/>
        </w:rPr>
        <w:t>i.e</w:t>
      </w:r>
      <w:r>
        <w:rPr/>
        <w:t>., auditors reports) and the need for additional rate increases (or to keep the interim increase of one cent/kWh in place.  The hearings were scheduled to end on Friday February 23</w:t>
      </w:r>
      <w:r>
        <w:rPr>
          <w:vertAlign w:val="superscript"/>
        </w:rPr>
        <w:t>rd</w:t>
      </w:r>
      <w:r>
        <w:rPr/>
        <w:t>, but look as though they will continue into next week.  Despite this fact, briefs will be due on Friday, March 2</w:t>
      </w:r>
      <w:r>
        <w:rPr>
          <w:vertAlign w:val="superscript"/>
        </w:rPr>
        <w:t>nd.</w:t>
      </w:r>
    </w:p>
    <w:p>
      <w:pPr>
        <w:pStyle w:val="Normal"/>
        <w:ind w:start="720" w:end="0"/>
        <w:jc w:val="both"/>
        <w:rPr/>
      </w:pPr>
      <w:r>
        <w:rPr/>
      </w:r>
    </w:p>
    <w:p>
      <w:pPr>
        <w:pStyle w:val="Normal"/>
        <w:ind w:start="720" w:end="0"/>
        <w:jc w:val="both"/>
        <w:rPr/>
      </w:pPr>
      <w:r>
        <w:rPr/>
        <w:t>In addition, the Commission has used this proceeding as the forum to vote out an order (D.01-01-061) which implements regulations with respect to SB 7X as well as directs the UDCs to use their retained generation for native load at cost based rates (see item no. 8 on advice letter filings emanating from this order).  On February 8, 2001, SCE and PG&amp;E jointly petitioned the Commission for modification of the order, mainly addressing the provisions of the order, which implement SB 7X.  On February 22</w:t>
      </w:r>
      <w:r>
        <w:rPr>
          <w:vertAlign w:val="superscript"/>
        </w:rPr>
        <w:t>nd</w:t>
      </w:r>
      <w:r>
        <w:rPr/>
        <w:t>, the Commission voted out an order which stayed Ordering Paragraph No. 8 of Decision 01-01-061 (the paragraph which directed the UDCs to file advice letters to track the obligation owed to DWR for shortfalls which might arise between the DWR price and the amount that the UDC collects in trust for DWR).</w:t>
      </w:r>
    </w:p>
    <w:p>
      <w:pPr>
        <w:pStyle w:val="Normal"/>
        <w:ind w:start="720" w:end="0"/>
        <w:jc w:val="both"/>
        <w:rPr/>
      </w:pPr>
      <w:r>
        <w:rPr/>
      </w:r>
    </w:p>
    <w:p>
      <w:pPr>
        <w:pStyle w:val="Normal"/>
        <w:ind w:start="720" w:end="0"/>
        <w:jc w:val="both"/>
        <w:rPr/>
      </w:pPr>
      <w:r>
        <w:rPr/>
        <w:t xml:space="preserve"> </w:t>
      </w:r>
      <w:r>
        <w:rPr/>
        <w:t xml:space="preserve">On February 14, 2001 Enron also filed a Petition to Modify Decision 01-01-061.  The basis for the petition was that the Commission overlooked the potential impact on direct access customers that the order has.  We asked that the issue of the interrelationship between UDC retained generation at cost based rates and the direct access market be examined in the next phase of hearing.   </w:t>
      </w:r>
    </w:p>
    <w:p>
      <w:pPr>
        <w:pStyle w:val="Normal"/>
        <w:ind w:start="720" w:end="0"/>
        <w:jc w:val="both"/>
        <w:rPr/>
      </w:pPr>
      <w:r>
        <w:rPr/>
      </w:r>
    </w:p>
    <w:p>
      <w:pPr>
        <w:pStyle w:val="Normal"/>
        <w:ind w:start="720" w:end="0"/>
        <w:jc w:val="both"/>
        <w:rPr/>
      </w:pPr>
      <w:r>
        <w:rPr/>
        <w:t>This proceeding has also been made the forum for Commission implementation of AB 1X.  A prehearing conference/workshops were held for that purpose on February 6 and 7, 2001.  The UDCs each served spreadsheets and assumptions underlying their calculations of the California Procurement Adjustment. An additional workshop was held on February 13</w:t>
      </w:r>
      <w:r>
        <w:rPr>
          <w:vertAlign w:val="superscript"/>
        </w:rPr>
        <w:t>th</w:t>
      </w:r>
      <w:r>
        <w:rPr/>
        <w:t xml:space="preserve"> to go over the spreadsheets.  The UDCs will make a formal filing of the their respective CPA calculations on February 23, 2001.  Comments on those submissions are due on February 28</w:t>
      </w:r>
      <w:r>
        <w:rPr>
          <w:vertAlign w:val="superscript"/>
        </w:rPr>
        <w:t>th</w:t>
      </w:r>
      <w:r>
        <w:rPr/>
        <w:t>.</w:t>
      </w:r>
    </w:p>
    <w:p>
      <w:pPr>
        <w:pStyle w:val="Normal"/>
        <w:ind w:start="720" w:end="0"/>
        <w:jc w:val="both"/>
        <w:rPr/>
      </w:pPr>
      <w:r>
        <w:rPr/>
      </w:r>
    </w:p>
    <w:p>
      <w:pPr>
        <w:pStyle w:val="Normal"/>
        <w:ind w:start="720" w:end="0"/>
        <w:jc w:val="both"/>
        <w:rPr/>
      </w:pPr>
      <w:r>
        <w:rPr/>
        <w:t>In a related matter, on February 20</w:t>
      </w:r>
      <w:r>
        <w:rPr>
          <w:vertAlign w:val="superscript"/>
        </w:rPr>
        <w:t>th</w:t>
      </w:r>
      <w:r>
        <w:rPr/>
        <w:t xml:space="preserve"> a draft order was issued which provided an interim mechanism for allocating a certain portion of the UDCs’ revenue stream to DWR for the purchase of power.  The draft decision also commenced the process of suspending direct access, as provided for in newly enacted Section 8110 of the Water Code. Parties were given 24 hours to comment on the draft decision. In a newly revised draft issued on February 22</w:t>
      </w:r>
      <w:r>
        <w:rPr>
          <w:vertAlign w:val="superscript"/>
        </w:rPr>
        <w:t>nd</w:t>
      </w:r>
      <w:r>
        <w:rPr/>
        <w:t>, the provisions pertaining to direct access were removed.  The Commission, however, failed to act on the order, as it was unable to garner sufficient votes to add the item to its agenda.  The order was held to a Commission continuation meeting scheduled for March 7</w:t>
      </w:r>
      <w:r>
        <w:rPr>
          <w:vertAlign w:val="superscript"/>
        </w:rPr>
        <w:t>th</w:t>
      </w:r>
      <w:r>
        <w:rPr/>
        <w:t xml:space="preserve">.          </w:t>
      </w:r>
      <w:r>
        <w:rPr>
          <w:vertAlign w:val="superscript"/>
        </w:rPr>
        <w:t xml:space="preserve"> </w:t>
      </w:r>
    </w:p>
    <w:p>
      <w:pPr>
        <w:pStyle w:val="Normal"/>
        <w:ind w:start="720" w:end="0"/>
        <w:jc w:val="both"/>
        <w:rPr>
          <w:vertAlign w:val="superscript"/>
        </w:rPr>
      </w:pPr>
      <w:r>
        <w:rPr>
          <w:vertAlign w:val="superscript"/>
        </w:rPr>
        <w:t xml:space="preserve">     </w:t>
      </w:r>
    </w:p>
    <w:p>
      <w:pPr>
        <w:pStyle w:val="Normal"/>
        <w:ind w:start="720" w:end="0"/>
        <w:jc w:val="both"/>
        <w:rPr/>
      </w:pPr>
      <w:r>
        <w:rPr>
          <w:vertAlign w:val="superscript"/>
        </w:rPr>
        <w:t xml:space="preserve"> </w:t>
      </w:r>
      <w:r>
        <w:rPr/>
        <w:t xml:space="preserve">  </w:t>
      </w:r>
    </w:p>
    <w:p>
      <w:pPr>
        <w:pStyle w:val="Normal"/>
        <w:ind w:hanging="720" w:start="720" w:end="0"/>
        <w:jc w:val="both"/>
        <w:rPr/>
      </w:pPr>
      <w:r>
        <w:rPr>
          <w:b/>
        </w:rPr>
        <w:t>2</w:t>
      </w:r>
      <w:r>
        <w:rPr/>
        <w:t>.</w:t>
        <w:tab/>
      </w:r>
      <w:r>
        <w:rPr>
          <w:b/>
        </w:rPr>
        <w:t>PG&amp;E Petition to Modify Decision 00-12-064</w:t>
      </w:r>
      <w:r>
        <w:rPr/>
        <w:t xml:space="preserve"> (</w:t>
      </w:r>
      <w:r>
        <w:rPr>
          <w:b/>
        </w:rPr>
        <w:t>A. 00-10-029)</w:t>
      </w:r>
    </w:p>
    <w:p>
      <w:pPr>
        <w:pStyle w:val="Normal"/>
        <w:ind w:start="720" w:end="0"/>
        <w:jc w:val="both"/>
        <w:rPr>
          <w:b/>
        </w:rPr>
      </w:pPr>
      <w:r>
        <w:rPr>
          <w:b/>
        </w:rPr>
      </w:r>
    </w:p>
    <w:p>
      <w:pPr>
        <w:pStyle w:val="Normal"/>
        <w:ind w:start="720" w:end="0"/>
        <w:jc w:val="both"/>
        <w:rPr/>
      </w:pPr>
      <w:r>
        <w:rPr/>
        <w:t xml:space="preserve">This is the vehicle which PG&amp;E used to request authorization to pledge it customer accounts receivable for the sole purpose of procuring core gas purchases.  The Commission issued a decision this past week allowing PG&amp;E to pledge its gas account receivables (not electric) as well as it core gas inventory for such purpose.  On February 15, 2001 the Commission amended the order to extend the period in which PG&amp;E can provide the security interest from 90 to 180 days. </w:t>
      </w:r>
    </w:p>
    <w:p>
      <w:pPr>
        <w:pStyle w:val="Normal"/>
        <w:ind w:start="720" w:end="0"/>
        <w:jc w:val="both"/>
        <w:rPr/>
      </w:pPr>
      <w:r>
        <w:rPr/>
      </w:r>
    </w:p>
    <w:p>
      <w:pPr>
        <w:pStyle w:val="Normal"/>
        <w:ind w:hanging="720" w:start="720" w:end="0"/>
        <w:jc w:val="both"/>
        <w:rPr>
          <w:b/>
        </w:rPr>
      </w:pPr>
      <w:r>
        <w:rPr>
          <w:b/>
        </w:rPr>
        <w:t>3.</w:t>
        <w:tab/>
        <w:t>ORA/TURN Petition for Modification of Decision 97-08-055 and Resolution G-3288</w:t>
      </w:r>
    </w:p>
    <w:p>
      <w:pPr>
        <w:pStyle w:val="Normal"/>
        <w:ind w:hanging="720" w:start="720" w:end="0"/>
        <w:jc w:val="both"/>
        <w:rPr>
          <w:b/>
        </w:rPr>
      </w:pPr>
      <w:r>
        <w:rPr>
          <w:b/>
        </w:rPr>
      </w:r>
    </w:p>
    <w:p>
      <w:pPr>
        <w:pStyle w:val="Normal"/>
        <w:ind w:hanging="720" w:start="720" w:end="0"/>
        <w:jc w:val="both"/>
        <w:rPr/>
      </w:pPr>
      <w:r>
        <w:rPr>
          <w:b/>
        </w:rPr>
        <w:tab/>
      </w:r>
      <w:r>
        <w:rPr/>
        <w:t>This is the vehicle pursuant to which ORA and TURN sought modification of PG&amp;E’s Gas Rule 14 so as to waive all penalties for core customer non-compliance with balancing requirements under an EFO or OFO.  In addition it seeks to modify the diversion credit when PG&amp;E takes non-core customer gas from $50/Dth to the actual market price for the day of the diversion.  Enron filed comments in opposition to the ORA/TURN petition.  The Commission has acted on the Petition at its February 15</w:t>
      </w:r>
      <w:r>
        <w:rPr>
          <w:vertAlign w:val="superscript"/>
        </w:rPr>
        <w:t>th</w:t>
      </w:r>
      <w:r>
        <w:rPr/>
        <w:t xml:space="preserve"> meeting.  The order waives the OFO/EFO non-compliance penalties, but maintains the $50/Dth diversion credit.</w:t>
      </w:r>
    </w:p>
    <w:p>
      <w:pPr>
        <w:pStyle w:val="Normal"/>
        <w:ind w:hanging="720" w:start="720" w:end="0"/>
        <w:jc w:val="both"/>
        <w:rPr/>
      </w:pPr>
      <w:r>
        <w:rPr/>
      </w:r>
    </w:p>
    <w:p>
      <w:pPr>
        <w:pStyle w:val="Normal"/>
        <w:ind w:hanging="720" w:start="720" w:end="0"/>
        <w:jc w:val="both"/>
        <w:rPr>
          <w:b/>
        </w:rPr>
      </w:pPr>
      <w:r>
        <w:rPr>
          <w:b/>
        </w:rPr>
        <w:t>4.*</w:t>
        <w:tab/>
        <w:t>PG&amp;E Application on Gas Supply Emergency (A. 01-01-024)</w:t>
      </w:r>
    </w:p>
    <w:p>
      <w:pPr>
        <w:pStyle w:val="Normal"/>
        <w:ind w:hanging="720" w:start="720" w:end="0"/>
        <w:jc w:val="both"/>
        <w:rPr>
          <w:b/>
        </w:rPr>
      </w:pPr>
      <w:r>
        <w:rPr>
          <w:b/>
        </w:rPr>
        <w:tab/>
      </w:r>
    </w:p>
    <w:p>
      <w:pPr>
        <w:pStyle w:val="Normal"/>
        <w:ind w:hanging="720" w:start="720" w:end="0"/>
        <w:jc w:val="both"/>
        <w:rPr/>
      </w:pPr>
      <w:r>
        <w:rPr>
          <w:b/>
        </w:rPr>
        <w:tab/>
      </w:r>
      <w:r>
        <w:rPr/>
        <w:t>PG&amp;E filed an application seeking an immediate finding that there was a gas supply emergency and requesting that SoCalGas be directed to provide assistance by supplying gas to PG&amp;E’s core customers.  Enron did not weigh in on this.  A hearing was held on PG&amp;E’s core gas supply situation on February 16</w:t>
      </w:r>
      <w:r>
        <w:rPr>
          <w:vertAlign w:val="superscript"/>
        </w:rPr>
        <w:t>th</w:t>
      </w:r>
      <w:r>
        <w:rPr/>
        <w:t>.   At that hearing, PG&amp;E presented evidence as to what its current core gas supply situation was, and its anticipated need of calling on SoCalGas for assistance.  The matter was scheduled for the Commission’s February 22</w:t>
      </w:r>
      <w:r>
        <w:rPr>
          <w:vertAlign w:val="superscript"/>
        </w:rPr>
        <w:t>nd</w:t>
      </w:r>
      <w:r>
        <w:rPr/>
        <w:t xml:space="preserve"> meeting, but was held.</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b/>
        </w:rPr>
        <w:t>5.</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pPr>
      <w:r>
        <w:rPr/>
      </w:r>
    </w:p>
    <w:p>
      <w:pPr>
        <w:pStyle w:val="Normal"/>
        <w:ind w:hanging="720" w:start="720" w:end="0"/>
        <w:jc w:val="both"/>
        <w:rPr>
          <w:b/>
        </w:rPr>
      </w:pPr>
      <w:r>
        <w:rPr>
          <w:b/>
        </w:rPr>
        <w:t>6.</w:t>
        <w:tab/>
        <w:t>Guidelines for Bilateral Power Purchase Contracts</w:t>
      </w:r>
    </w:p>
    <w:p>
      <w:pPr>
        <w:pStyle w:val="Normal"/>
        <w:ind w:hanging="720" w:start="720" w:end="0"/>
        <w:jc w:val="both"/>
        <w:rPr>
          <w:b/>
        </w:rPr>
      </w:pPr>
      <w:r>
        <w:rPr>
          <w:b/>
        </w:rPr>
      </w:r>
    </w:p>
    <w:p>
      <w:pPr>
        <w:pStyle w:val="Normal"/>
        <w:ind w:hanging="720" w:start="720" w:end="0"/>
        <w:jc w:val="both"/>
        <w:rPr/>
      </w:pPr>
      <w:r>
        <w:rPr>
          <w:b/>
        </w:rPr>
        <w:tab/>
        <w:t>T</w:t>
      </w:r>
      <w:r>
        <w:rPr/>
        <w:t xml:space="preserve">here are alternate forms of the decision that have been released.  The version by Cmmr. Lynch establishes procedures that if followed the contracts would be </w:t>
      </w:r>
      <w:r>
        <w:rPr>
          <w:i/>
        </w:rPr>
        <w:t>per se</w:t>
      </w:r>
      <w:r>
        <w:rPr/>
        <w:t xml:space="preserve"> reasonable.  Basically, the UDCs are to make periodic solicitations and the Commission will presume that the least expensive 30% of the power offered under the solicitation is </w:t>
      </w:r>
      <w:r>
        <w:rPr>
          <w:i/>
        </w:rPr>
        <w:t>per se</w:t>
      </w:r>
      <w:r>
        <w:rPr/>
        <w:t xml:space="preserve"> reasonable if the average contract price does not exceed a ceiling of 6 cents for contracts with terms up to three years and 5.5 cents for contracts with terms up to five years. The presumption of reasonableness lapses for contracts signed 180 days after the effective date of the order.  The other alternative order, released by ALJ Cooke, adopts a total generation cost benchmark of 6 cents/kWh for 2001.  Comments on these decisions were due February 6</w:t>
      </w:r>
      <w:r>
        <w:rPr>
          <w:vertAlign w:val="superscript"/>
        </w:rPr>
        <w:t>th</w:t>
      </w:r>
      <w:r>
        <w:rPr/>
        <w:t xml:space="preserve">.  The Commission has not acted on either decision. </w:t>
      </w:r>
      <w:r>
        <w:rPr>
          <w:vertAlign w:val="superscript"/>
        </w:rPr>
        <w:t xml:space="preserve">    </w:t>
      </w:r>
    </w:p>
    <w:p>
      <w:pPr>
        <w:pStyle w:val="Normal"/>
        <w:ind w:hanging="720" w:start="720" w:end="0"/>
        <w:jc w:val="both"/>
        <w:rPr>
          <w:vertAlign w:val="superscript"/>
        </w:rPr>
      </w:pPr>
      <w:r>
        <w:rPr>
          <w:vertAlign w:val="superscript"/>
        </w:rPr>
      </w:r>
    </w:p>
    <w:p>
      <w:pPr>
        <w:pStyle w:val="Normal"/>
        <w:ind w:hanging="720" w:start="720" w:end="0"/>
        <w:jc w:val="both"/>
        <w:rPr>
          <w:b/>
        </w:rPr>
      </w:pPr>
      <w:r>
        <w:rPr>
          <w:b/>
        </w:rPr>
        <w:t>7.</w:t>
        <w:tab/>
        <w:t>SDG&amp;E Application for Surcharge</w:t>
      </w:r>
    </w:p>
    <w:p>
      <w:pPr>
        <w:pStyle w:val="Normal"/>
        <w:ind w:start="720" w:end="0"/>
        <w:jc w:val="both"/>
        <w:rPr>
          <w:b/>
        </w:rPr>
      </w:pPr>
      <w:r>
        <w:rPr>
          <w:b/>
        </w:rPr>
        <w:t>(A. 01-01-44)</w:t>
      </w:r>
    </w:p>
    <w:p>
      <w:pPr>
        <w:pStyle w:val="Normal"/>
        <w:ind w:start="720" w:end="0"/>
        <w:jc w:val="both"/>
        <w:rPr>
          <w:b/>
        </w:rPr>
      </w:pPr>
      <w:r>
        <w:rPr>
          <w:b/>
        </w:rPr>
      </w:r>
    </w:p>
    <w:p>
      <w:pPr>
        <w:pStyle w:val="Normal"/>
        <w:ind w:start="720" w:end="0"/>
        <w:jc w:val="both"/>
        <w:rPr/>
      </w:pPr>
      <w:r>
        <w:rPr/>
        <w:t>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An all party meeting with Commissioner Duque was held on February 9</w:t>
      </w:r>
      <w:r>
        <w:rPr>
          <w:vertAlign w:val="superscript"/>
        </w:rPr>
        <w:t>th</w:t>
      </w:r>
      <w:r>
        <w:rPr/>
        <w:t xml:space="preserve">. A prehearing conference is scheduled on February 16th in San Diego As Enron is not attending the prehearing conference, it submitted a prehearing conference statement (as allowed by the ALJ) to keep itself in the mix in case it decides to become active. </w:t>
      </w:r>
    </w:p>
    <w:p>
      <w:pPr>
        <w:pStyle w:val="Normal"/>
        <w:ind w:start="720" w:end="0"/>
        <w:jc w:val="both"/>
        <w:rPr/>
      </w:pPr>
      <w:r>
        <w:rPr/>
      </w:r>
    </w:p>
    <w:p>
      <w:pPr>
        <w:pStyle w:val="Normal"/>
        <w:ind w:hanging="720" w:start="720" w:end="0"/>
        <w:jc w:val="both"/>
        <w:rPr>
          <w:b/>
        </w:rPr>
      </w:pPr>
      <w:r>
        <w:rPr>
          <w:b/>
        </w:rPr>
        <w:t>8.</w:t>
        <w:tab/>
        <w:t>UDC Advice Letter Filings on Energy Charge/ Credit</w:t>
      </w:r>
    </w:p>
    <w:p>
      <w:pPr>
        <w:pStyle w:val="Normal"/>
        <w:ind w:hanging="720" w:start="720" w:end="0"/>
        <w:jc w:val="both"/>
        <w:rPr>
          <w:b/>
        </w:rPr>
      </w:pPr>
      <w:r>
        <w:rPr>
          <w:b/>
        </w:rPr>
      </w:r>
    </w:p>
    <w:p>
      <w:pPr>
        <w:pStyle w:val="Normal"/>
        <w:ind w:hanging="720" w:start="720" w:end="0"/>
        <w:jc w:val="both"/>
        <w:rPr/>
      </w:pPr>
      <w:r>
        <w:rPr>
          <w:b/>
        </w:rPr>
        <w:tab/>
      </w:r>
      <w:r>
        <w:rPr/>
        <w:t>In Decision 01-01-016 (the decision on retained generation), the Commission directed PG&amp;E and SCE to file advice letters by March 2</w:t>
      </w:r>
      <w:r>
        <w:rPr>
          <w:vertAlign w:val="superscript"/>
        </w:rPr>
        <w:t>nd</w:t>
      </w:r>
      <w:r>
        <w:rPr/>
        <w:t xml:space="preserve"> which establish a cost based rate for its retained generation effective as of the date that the UDCs stopped selling power to the PX (December 28, 2000).  The UDCs are viewing this as a directive that as the energy rate as of that date will be cost based, so will the energy credit.  We will need to protest these advice letters when they are filed.   </w:t>
      </w:r>
    </w:p>
    <w:p>
      <w:pPr>
        <w:pStyle w:val="Normal"/>
        <w:ind w:hanging="720" w:start="720" w:end="0"/>
        <w:jc w:val="both"/>
        <w:rPr/>
      </w:pPr>
      <w:r>
        <w:rPr/>
      </w:r>
    </w:p>
    <w:p>
      <w:pPr>
        <w:pStyle w:val="Normal"/>
        <w:ind w:hanging="720" w:start="720" w:end="0"/>
        <w:jc w:val="both"/>
        <w:rPr>
          <w:b/>
        </w:rPr>
      </w:pPr>
      <w:r>
        <w:rPr>
          <w:b/>
        </w:rPr>
        <w:t>9.</w:t>
        <w:tab/>
        <w:t>Complaints against SCE and PG&amp;E</w:t>
      </w:r>
    </w:p>
    <w:p>
      <w:pPr>
        <w:pStyle w:val="Normal"/>
        <w:ind w:hanging="720" w:start="720" w:end="0"/>
        <w:jc w:val="both"/>
        <w:rPr>
          <w:b/>
        </w:rPr>
      </w:pPr>
      <w:r>
        <w:rPr>
          <w:b/>
        </w:rPr>
      </w:r>
    </w:p>
    <w:p>
      <w:pPr>
        <w:pStyle w:val="Normal"/>
        <w:ind w:hanging="720" w:start="720" w:end="0"/>
        <w:jc w:val="both"/>
        <w:rPr/>
      </w:pPr>
      <w:r>
        <w:rPr>
          <w:b/>
        </w:rPr>
        <w:tab/>
      </w:r>
      <w:r>
        <w:rPr/>
        <w:t xml:space="preserve">Enron Energy Services and Enron Energy Marketing files complaints at the Public Utilities Commission against SCE and PG&amp;E pertaining to their failure to pay “negative CTC”.  The UDCs have been directed to respond to the complaints by March 1 2001 and a prehearing conference has been scheduled for March 6.                </w:t>
      </w:r>
      <w:r>
        <w:rPr>
          <w:b/>
        </w:rPr>
        <w:tab/>
      </w:r>
      <w:r>
        <w:rPr/>
        <w:t xml:space="preserve">    </w:t>
      </w:r>
    </w:p>
    <w:p>
      <w:pPr>
        <w:pStyle w:val="Normal"/>
        <w:ind w:start="720" w:end="0"/>
        <w:jc w:val="both"/>
        <w:rPr/>
      </w:pPr>
      <w:r>
        <w:rPr/>
      </w:r>
    </w:p>
    <w:p>
      <w:pPr>
        <w:pStyle w:val="Normal"/>
        <w:ind w:start="720" w:end="0"/>
        <w:jc w:val="both"/>
        <w:rPr/>
      </w:pPr>
      <w:r>
        <w:rPr/>
        <w:t xml:space="preserve">    </w:t>
      </w:r>
      <w:r>
        <w:rPr>
          <w:rStyle w:val="zzmpTrailerItem"/>
        </w:rPr>
        <w:t>2704/009/X20615-1</w:t>
      </w:r>
      <w:r>
        <w:rPr/>
        <w:t xml:space="preserve"> </w:t>
      </w:r>
    </w:p>
    <w:sectPr>
      <w:headerReference w:type="default" r:id="rId2"/>
      <w:footerReference w:type="default" r:id="rId3"/>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06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2001-02-22T22:51:00Z</dcterms:created>
  <dc:creator>JMB</dc:creator>
  <dc:description/>
  <dc:language>en-CA</dc:language>
  <cp:lastModifiedBy>JMB</cp:lastModifiedBy>
  <cp:lastPrinted>2001-02-02T17:13:00Z</cp:lastPrinted>
  <dcterms:modified xsi:type="dcterms:W3CDTF">2001-02-22T22:51:00Z</dcterms:modified>
  <cp:revision>2</cp:revision>
  <dc:subject/>
  <dc:title/>
</cp:coreProperties>
</file>