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CPUC PROCEEDINGS (Active or Monitoring) </w:t>
      </w:r>
    </w:p>
    <w:p>
      <w:pPr>
        <w:pStyle w:val="Normal"/>
        <w:jc w:val="center"/>
        <w:rPr>
          <w:b/>
        </w:rPr>
      </w:pPr>
      <w:r>
        <w:rPr>
          <w:b/>
        </w:rPr>
        <w:t>Current Status (as of 4/19/01)</w:t>
      </w:r>
    </w:p>
    <w:p>
      <w:pPr>
        <w:pStyle w:val="Normal"/>
        <w:jc w:val="center"/>
        <w:rPr>
          <w:b/>
        </w:rPr>
      </w:pPr>
      <w:r>
        <w:rPr>
          <w:b/>
        </w:rPr>
        <w:t>(* indicates a change to the item/paragraph or a new item)</w:t>
      </w:r>
    </w:p>
    <w:p>
      <w:pPr>
        <w:pStyle w:val="Normal"/>
        <w:jc w:val="center"/>
        <w:rPr>
          <w:b/>
        </w:rPr>
      </w:pPr>
      <w:r>
        <w:rPr>
          <w:b/>
        </w:rPr>
      </w:r>
    </w:p>
    <w:p>
      <w:pPr>
        <w:pStyle w:val="Normal"/>
        <w:jc w:val="center"/>
        <w:rPr>
          <w:b/>
        </w:rPr>
      </w:pPr>
      <w:r>
        <w:rPr>
          <w:b/>
        </w:rPr>
      </w:r>
    </w:p>
    <w:p>
      <w:pPr>
        <w:pStyle w:val="Normal"/>
        <w:jc w:val="both"/>
        <w:rPr>
          <w:b/>
        </w:rPr>
      </w:pPr>
      <w:r>
        <w:rPr>
          <w:b/>
        </w:rPr>
        <w:t>1.</w:t>
        <w:tab/>
        <w:t xml:space="preserve">SCE and PG&amp;E Rate Stabilization Proceedings </w:t>
      </w:r>
    </w:p>
    <w:p>
      <w:pPr>
        <w:pStyle w:val="Normal"/>
        <w:jc w:val="both"/>
        <w:rPr>
          <w:b/>
        </w:rPr>
      </w:pPr>
      <w:r>
        <w:rPr>
          <w:b/>
        </w:rPr>
        <w:tab/>
        <w:t>(A. 00-11-038 and A. 00-11-056)</w:t>
      </w:r>
    </w:p>
    <w:p>
      <w:pPr>
        <w:pStyle w:val="Normal"/>
        <w:jc w:val="both"/>
        <w:rPr>
          <w:b/>
        </w:rPr>
      </w:pPr>
      <w:r>
        <w:rPr>
          <w:b/>
        </w:rPr>
      </w:r>
    </w:p>
    <w:p>
      <w:pPr>
        <w:pStyle w:val="Normal"/>
        <w:ind w:hanging="720" w:start="720" w:end="0"/>
        <w:jc w:val="both"/>
        <w:rPr/>
      </w:pPr>
      <w:r>
        <w:rPr/>
        <w:t>*</w:t>
        <w:tab/>
        <w:t>On March 27</w:t>
      </w:r>
      <w:r>
        <w:rPr>
          <w:vertAlign w:val="superscript"/>
        </w:rPr>
        <w:t>th</w:t>
      </w:r>
      <w:r>
        <w:rPr/>
        <w:t>, a decision was issued in the Rate Stabilization proceeding which (1) adopted the TURN accounting proposal and thereby retains the current AB 1890 rate freeze construct, and (2) adopted a three cent per kWh rate increase (while also making the one cent increase adopted in January permanent).  The rate increase will not hit customers’ bills immediately.  Rather there will be a lag while the Commission determines the appropriate rate design.</w:t>
      </w:r>
      <w:r>
        <w:rPr>
          <w:rStyle w:val="FootnoteCharacters"/>
          <w:rStyle w:val="FootnoteReference"/>
        </w:rPr>
        <w:footnoteReference w:id="2"/>
      </w:r>
      <w:r>
        <w:rPr/>
        <w:t xml:space="preserve"> To this end, an Assigned Commissioner’s Ruling was issued.   The ACR stressed that heavy users of energy would be hit the hardest for that increment of power over a certain threshold. A prehearing conference was held on the matter on April 2, 2001.   At the prehearing conference Commissioner Lynch indicated that the goal was to have the rate increase hit customer’s bills by June 1</w:t>
      </w:r>
      <w:r>
        <w:rPr>
          <w:vertAlign w:val="superscript"/>
        </w:rPr>
        <w:t>st</w:t>
      </w:r>
      <w:r>
        <w:rPr/>
        <w:t>.  In order to make this happen, the UDCs have indicated that they need a final Commission decision on the adopted rate design by early May in order to get their billing systems set up appropriately.   On April 11, 2001, Commissioner Lynch issued an Assigned Commissioner’s Ruling wherein she provided further “guidance” on the design of the rates to recover the three cent per kwh increase.  Parties were directed to file any rate design proposals by April 13</w:t>
      </w:r>
      <w:r>
        <w:rPr>
          <w:vertAlign w:val="superscript"/>
        </w:rPr>
        <w:t>th</w:t>
      </w:r>
      <w:r>
        <w:rPr/>
        <w:t>. Enron Energy Services submitted such a proposal. A workshop to discuss the proposals, as well as a prehearing conference, were held on Monday April 16</w:t>
      </w:r>
      <w:r>
        <w:rPr>
          <w:vertAlign w:val="superscript"/>
        </w:rPr>
        <w:t>th</w:t>
      </w:r>
      <w:r>
        <w:rPr/>
        <w:t>, and the matter proceeded to hearing on Tuesday, the 17</w:t>
      </w:r>
      <w:r>
        <w:rPr>
          <w:vertAlign w:val="superscript"/>
        </w:rPr>
        <w:t>th</w:t>
      </w:r>
      <w:r>
        <w:rPr/>
        <w:t xml:space="preserve">.    The hearings will continue into the week of April 23, with briefs due on Friday, April 27.  The Commission intends to issue a decision on the matter on May 14, 2001. </w:t>
      </w:r>
    </w:p>
    <w:p>
      <w:pPr>
        <w:pStyle w:val="Normal"/>
        <w:ind w:hanging="720" w:start="720" w:end="0"/>
        <w:jc w:val="both"/>
        <w:rPr/>
      </w:pPr>
      <w:r>
        <w:rPr/>
      </w:r>
    </w:p>
    <w:p>
      <w:pPr>
        <w:pStyle w:val="Normal"/>
        <w:ind w:hanging="720" w:start="720" w:end="0"/>
        <w:jc w:val="both"/>
        <w:rPr/>
      </w:pPr>
      <w:r>
        <w:rPr/>
        <w:t>*</w:t>
        <w:tab/>
        <w:t xml:space="preserve">In an Assigned Commissioner’s Ruling issued on March 29, 2001, PG&amp;E and SCE were direct to file and serve responses to a series of data requests pertaining to the relationship between the UDC and the holding company.   The UDCs have now been directed to file this information in the newly creating investigation docket which was established to determine “ whether respondent utilities and their respective holding companies have complied with relevant statutes and Commission decision in the management and oversight of their companies.” (I. 01-04-002).  A Prehearing conference is being held in this proceeding on April 20, 2001.     </w:t>
      </w:r>
    </w:p>
    <w:p>
      <w:pPr>
        <w:pStyle w:val="Normal"/>
        <w:ind w:hanging="720" w:start="720" w:end="0"/>
        <w:jc w:val="both"/>
        <w:rPr>
          <w:b/>
        </w:rPr>
      </w:pPr>
      <w:r>
        <w:rPr>
          <w:b/>
        </w:rPr>
      </w:r>
    </w:p>
    <w:p>
      <w:pPr>
        <w:pStyle w:val="Normal"/>
        <w:ind w:hanging="720" w:start="720" w:end="0"/>
        <w:jc w:val="both"/>
        <w:rPr>
          <w:b/>
        </w:rPr>
      </w:pPr>
      <w:r>
        <w:rPr>
          <w:b/>
        </w:rPr>
      </w:r>
    </w:p>
    <w:p>
      <w:pPr>
        <w:pStyle w:val="Normal"/>
        <w:ind w:hanging="720" w:start="720" w:end="0"/>
        <w:jc w:val="both"/>
        <w:rPr>
          <w:b/>
        </w:rPr>
      </w:pPr>
      <w:r>
        <w:rPr>
          <w:b/>
        </w:rPr>
        <w:t>2.</w:t>
        <w:tab/>
        <w:t>SDG&amp;E Application for Surcharge</w:t>
      </w:r>
    </w:p>
    <w:p>
      <w:pPr>
        <w:pStyle w:val="Normal"/>
        <w:ind w:start="720" w:end="0"/>
        <w:jc w:val="both"/>
        <w:rPr>
          <w:b/>
        </w:rPr>
      </w:pPr>
      <w:r>
        <w:rPr>
          <w:b/>
        </w:rPr>
        <w:t>(A. 01-01-44)</w:t>
      </w:r>
    </w:p>
    <w:p>
      <w:pPr>
        <w:pStyle w:val="Normal"/>
        <w:ind w:start="720" w:end="0"/>
        <w:jc w:val="both"/>
        <w:rPr>
          <w:b/>
        </w:rPr>
      </w:pPr>
      <w:r>
        <w:rPr>
          <w:b/>
        </w:rPr>
      </w:r>
    </w:p>
    <w:p>
      <w:pPr>
        <w:pStyle w:val="Normal"/>
        <w:tabs>
          <w:tab w:val="clear" w:pos="720"/>
          <w:tab w:val="left" w:pos="-270" w:leader="none"/>
        </w:tabs>
        <w:ind w:start="720" w:end="0"/>
        <w:jc w:val="both"/>
        <w:rPr/>
      </w:pPr>
      <w:r>
        <w:rPr/>
        <w:t>On January 24 2001, SDG&amp;E filed an application seeking to add a 2.3 cents/kWh surcharge to all customers’ bills effective March 1, 2001.  The purpose of the surcharge is to begin collecting the shortfall that is beginning to pile up under its 6.5 cents rate ceiling implemented by AB 265.   An all party meeting with Commissioner Duque was held on February 9</w:t>
      </w:r>
      <w:r>
        <w:rPr>
          <w:vertAlign w:val="superscript"/>
        </w:rPr>
        <w:t>th</w:t>
      </w:r>
      <w:r>
        <w:rPr/>
        <w:t>. A prehearing conference is scheduled on February 16th in San Diego As Enron is not attending the prehearing conference, it submitted a prehearing conference statement (as allowed by the ALJ) to keep itself in the mix in case it decides to become active.   On February 23, 2001, interested parties served briefs on the issue as to whether the Commission can implement a surcharge given the rate ceiling implemented by the legislature under AB 265.</w:t>
      </w:r>
    </w:p>
    <w:p>
      <w:pPr>
        <w:pStyle w:val="Normal"/>
        <w:tabs>
          <w:tab w:val="clear" w:pos="720"/>
          <w:tab w:val="left" w:pos="-270" w:leader="none"/>
        </w:tabs>
        <w:ind w:start="720" w:end="0"/>
        <w:jc w:val="both"/>
        <w:rPr/>
      </w:pPr>
      <w:r>
        <w:rPr/>
      </w:r>
    </w:p>
    <w:p>
      <w:pPr>
        <w:pStyle w:val="Normal"/>
        <w:ind w:hanging="720" w:start="720" w:end="0"/>
        <w:jc w:val="both"/>
        <w:rPr/>
      </w:pPr>
      <w:r>
        <w:rPr/>
        <w:t>*</w:t>
        <w:tab/>
        <w:t xml:space="preserve">In an Assigned Commissioner’s ruling issued on March 29, 2001, a second prehearing conference was set to consider tiered rate design. The ruling referenced the ACR issued in the Rate Stabilization proceeding, stating that “ACR proposes a tiered rate design for all customer classes and sets forth principles that underlie the proposed rated design for SDG&amp;E as well as Edison and PG&amp;E.”  As SDG&amp;E has not been authorized to collect and additional 3 cents in its rates, it is unclear how any new rate design developed would apply to SDG&amp;E.  At the prehearing conference, Assigned Administrative Law Judge Wetzell stated that the Commission’s preliminary thinking was that a separate phase of the San Diego application would be created – “Rate Design Phase” – which would then be consolidated with the SCE and PG&amp;E proceeding.  Parties were directed to file comments on such approach.  In an Assigned Commissioner’s Ruling issued on April 11, 2001, the Commission reversed course and stated that it intended to address issues for SDG&amp;E under a separate procedural process, and would provide further direction to parties at a later date.    </w:t>
      </w:r>
    </w:p>
    <w:p>
      <w:pPr>
        <w:pStyle w:val="Normal"/>
        <w:jc w:val="both"/>
        <w:rPr/>
      </w:pPr>
      <w:r>
        <w:rPr/>
      </w:r>
    </w:p>
    <w:p>
      <w:pPr>
        <w:pStyle w:val="Normal"/>
        <w:tabs>
          <w:tab w:val="clear" w:pos="720"/>
          <w:tab w:val="left" w:pos="-270" w:leader="none"/>
        </w:tabs>
        <w:ind w:start="720" w:end="0"/>
        <w:jc w:val="both"/>
        <w:rPr/>
      </w:pPr>
      <w:r>
        <w:rPr/>
      </w:r>
    </w:p>
    <w:p>
      <w:pPr>
        <w:pStyle w:val="Normal"/>
        <w:jc w:val="both"/>
        <w:rPr>
          <w:b/>
        </w:rPr>
      </w:pPr>
      <w:r>
        <w:rPr>
          <w:b/>
        </w:rPr>
        <w:t>3.</w:t>
        <w:tab/>
        <w:t>Proceeding re Payments to Qualifying Facilities</w:t>
      </w:r>
    </w:p>
    <w:p>
      <w:pPr>
        <w:pStyle w:val="Normal"/>
        <w:jc w:val="both"/>
        <w:rPr>
          <w:b/>
        </w:rPr>
      </w:pPr>
      <w:r>
        <w:rPr>
          <w:b/>
        </w:rPr>
        <w:tab/>
      </w:r>
    </w:p>
    <w:p>
      <w:pPr>
        <w:pStyle w:val="Normal"/>
        <w:ind w:start="720" w:end="0"/>
        <w:jc w:val="both"/>
        <w:rPr/>
      </w:pPr>
      <w:r>
        <w:rPr/>
        <w:t xml:space="preserve">In a decision issued at its March 27, 2001 meeting, the Commission took two substantive actions with respect to the payment of Qualifying Facilities by the UDCs for energy purchases.  First, the Commission directed the UDCs to make payments to QFs for energy deliveries made on and after the effective date of the order, within 15 days after the end of the billing period.  In this regard, the order allows for QFs to request a twice-monthly billing period.  Second, the Commission changed the Transition Pricing Formula by which QFs are paid by changing the gas price index used therein from Topock to Malin.  The thought on this latter change is that as gas fired cogeneration units are unable to purchase gas at the Malin price, they will not be able to operate at the price that they will be paid for their energy.  </w:t>
      </w:r>
    </w:p>
    <w:p>
      <w:pPr>
        <w:pStyle w:val="Normal"/>
        <w:ind w:start="720" w:end="0"/>
        <w:jc w:val="both"/>
        <w:rPr/>
      </w:pPr>
      <w:r>
        <w:rPr/>
      </w:r>
    </w:p>
    <w:p>
      <w:pPr>
        <w:pStyle w:val="Normal"/>
        <w:ind w:hanging="810" w:start="720" w:end="0"/>
        <w:jc w:val="both"/>
        <w:rPr/>
      </w:pPr>
      <w:r>
        <w:rPr/>
        <w:t>*</w:t>
        <w:tab/>
        <w:t xml:space="preserve">At the Commission’s April 19, 2001 meeting it voted out an Order Instituting an Investigation into the Performance of Qualifying Facilities Under Existing Contracts.  In the Order, the Commission defined the preliminary scope of the proceeding as “exploring whether QFs are meeting (and will continue to meet) their lawful performance obligations, whether the Commission should take further action to ensure that the utilities and QFs are meeting their contractual obligations.”  SCE, PG&amp;E and SDG&amp;E have been direct to provide the Energy Division, within seven days, certain information about their QF contracts and whether QFs have been performing thereunder.   </w:t>
      </w:r>
    </w:p>
    <w:p>
      <w:pPr>
        <w:pStyle w:val="Normal"/>
        <w:ind w:start="720" w:end="0"/>
        <w:jc w:val="both"/>
        <w:rPr/>
      </w:pPr>
      <w:r>
        <w:rPr/>
      </w:r>
    </w:p>
    <w:p>
      <w:pPr>
        <w:pStyle w:val="Normal"/>
        <w:ind w:start="720" w:end="0"/>
        <w:jc w:val="both"/>
        <w:rPr/>
      </w:pPr>
      <w:r>
        <w:rPr/>
      </w:r>
    </w:p>
    <w:p>
      <w:pPr>
        <w:pStyle w:val="Normal"/>
        <w:ind w:hanging="720" w:start="720" w:end="0"/>
        <w:jc w:val="both"/>
        <w:rPr/>
      </w:pPr>
      <w:r>
        <w:rPr/>
      </w:r>
    </w:p>
    <w:p>
      <w:pPr>
        <w:pStyle w:val="Normal"/>
        <w:ind w:hanging="720" w:start="720" w:end="0"/>
        <w:jc w:val="both"/>
        <w:rPr>
          <w:b/>
        </w:rPr>
      </w:pPr>
      <w:r>
        <w:rPr>
          <w:b/>
        </w:rPr>
        <w:t>4.</w:t>
        <w:tab/>
        <w:t>Complaints against SCE and PG&amp;E</w:t>
      </w:r>
    </w:p>
    <w:p>
      <w:pPr>
        <w:pStyle w:val="Normal"/>
        <w:ind w:hanging="720" w:start="720" w:end="0"/>
        <w:jc w:val="both"/>
        <w:rPr>
          <w:b/>
        </w:rPr>
      </w:pPr>
      <w:r>
        <w:rPr>
          <w:b/>
        </w:rPr>
      </w:r>
    </w:p>
    <w:p>
      <w:pPr>
        <w:pStyle w:val="Normal"/>
        <w:ind w:hanging="720" w:start="720" w:end="0"/>
        <w:jc w:val="both"/>
        <w:rPr/>
      </w:pPr>
      <w:r>
        <w:rPr>
          <w:b/>
        </w:rPr>
        <w:t>*</w:t>
        <w:tab/>
      </w:r>
      <w:r>
        <w:rPr/>
        <w:t>Enron Energy Services and Enron Energy Marketing filed complaints at the Public Utilities Commission against SCE and PG&amp;E pertaining to their failure to pay “negative CTC”.  A response was received from PG&amp;E and a response and counterclaim (alleging market power abuses) from SCE on March 1</w:t>
      </w:r>
      <w:r>
        <w:rPr>
          <w:vertAlign w:val="superscript"/>
        </w:rPr>
        <w:t>st</w:t>
      </w:r>
      <w:r>
        <w:rPr/>
        <w:t>. A prehearing conference was held on March 6.  The ALJ severed the SCE counterclaim from the remainder of the proceeding, placing it on a separate track.  We filed a motion to dismiss the counterclaim on March 19</w:t>
      </w:r>
      <w:r>
        <w:rPr>
          <w:vertAlign w:val="superscript"/>
        </w:rPr>
        <w:t>th</w:t>
      </w:r>
      <w:r>
        <w:rPr/>
        <w:t>, SCE filed its response on April 2</w:t>
      </w:r>
      <w:r>
        <w:rPr>
          <w:vertAlign w:val="superscript"/>
        </w:rPr>
        <w:t>nd</w:t>
      </w:r>
      <w:r>
        <w:rPr/>
        <w:t xml:space="preserve">. The motion was scheduled for Oral Argument of April 19, 2001.  In the interim, however, Enron reached agreement with SCE to defer the proceeding for a minimum of sixty days (SCE wanted the time to attempt to get various provisions of their memorandum of understanding with the governor approved which might make a majority of our claim go away).   </w:t>
      </w:r>
    </w:p>
    <w:p>
      <w:pPr>
        <w:pStyle w:val="Normal"/>
        <w:ind w:hanging="720" w:start="720" w:end="0"/>
        <w:jc w:val="both"/>
        <w:rPr/>
      </w:pPr>
      <w:r>
        <w:rPr/>
      </w:r>
    </w:p>
    <w:p>
      <w:pPr>
        <w:pStyle w:val="Normal"/>
        <w:ind w:hanging="720" w:start="720" w:end="0"/>
        <w:jc w:val="both"/>
        <w:rPr/>
      </w:pPr>
      <w:r>
        <w:rPr/>
        <w:t>*</w:t>
        <w:tab/>
        <w:t xml:space="preserve">With PG&amp;E’s bankruptcy filing on April 6, 2001, the complaint proceeding against PG&amp;E was stayed in accordance with the terms of the bankruptcy code.     </w:t>
        <w:tab/>
      </w:r>
    </w:p>
    <w:p>
      <w:pPr>
        <w:pStyle w:val="Normal"/>
        <w:ind w:hanging="720" w:start="720" w:end="0"/>
        <w:jc w:val="both"/>
        <w:rPr/>
      </w:pPr>
      <w:r>
        <w:rPr/>
      </w:r>
    </w:p>
    <w:p>
      <w:pPr>
        <w:pStyle w:val="Normal"/>
        <w:ind w:hanging="720" w:start="720" w:end="0"/>
        <w:jc w:val="both"/>
        <w:rPr/>
      </w:pPr>
      <w:r>
        <w:rPr/>
        <w:tab/>
      </w:r>
    </w:p>
    <w:p>
      <w:pPr>
        <w:pStyle w:val="Normal"/>
        <w:ind w:hanging="720" w:start="720" w:end="0"/>
        <w:jc w:val="both"/>
        <w:rPr/>
      </w:pPr>
      <w:r>
        <w:rPr>
          <w:b/>
        </w:rPr>
        <w:t>5.</w:t>
        <w:tab/>
        <w:t>SCE and PG&amp;E’s Petitions re Payment of PX Credits</w:t>
      </w:r>
      <w:r>
        <w:rPr/>
        <w:t xml:space="preserve"> </w:t>
      </w:r>
    </w:p>
    <w:p>
      <w:pPr>
        <w:pStyle w:val="Normal"/>
        <w:ind w:hanging="720" w:start="720" w:end="0"/>
        <w:jc w:val="both"/>
        <w:rPr/>
      </w:pPr>
      <w:r>
        <w:rPr/>
      </w:r>
    </w:p>
    <w:p>
      <w:pPr>
        <w:pStyle w:val="Normal"/>
        <w:ind w:hanging="720" w:start="720" w:end="0"/>
        <w:jc w:val="both"/>
        <w:rPr/>
      </w:pPr>
      <w:r>
        <w:rPr/>
        <w:tab/>
        <w:t>In November 2000 PG&amp;E filed a petition to modify its Rule 22 regarding the procedures to be followed when paying negative charges (credits) to ESP.  It later filed an amendment saying “never mind” we don’t need clarification as we have stopped paying altogether. Enron protested both.</w:t>
      </w:r>
    </w:p>
    <w:p>
      <w:pPr>
        <w:pStyle w:val="Normal"/>
        <w:ind w:hanging="720" w:start="720" w:end="0"/>
        <w:jc w:val="both"/>
        <w:rPr/>
      </w:pPr>
      <w:r>
        <w:rPr/>
      </w:r>
    </w:p>
    <w:p>
      <w:pPr>
        <w:pStyle w:val="Normal"/>
        <w:ind w:hanging="720" w:start="720" w:end="0"/>
        <w:jc w:val="both"/>
        <w:rPr/>
      </w:pPr>
      <w:r>
        <w:rPr/>
        <w:tab/>
        <w:t>On January 25</w:t>
      </w:r>
      <w:r>
        <w:rPr>
          <w:vertAlign w:val="superscript"/>
        </w:rPr>
        <w:t>th</w:t>
      </w:r>
      <w:r>
        <w:rPr/>
        <w:t xml:space="preserve"> SCE filed a Petition to Modify the Decision which eradicated the direct access minimum bill (based on a stipulation between SCE, Enron and WPTF).  Enron filed its opposition to that on February 2</w:t>
      </w:r>
      <w:r>
        <w:rPr>
          <w:vertAlign w:val="superscript"/>
        </w:rPr>
        <w:t>nd</w:t>
      </w:r>
      <w:r>
        <w:rPr/>
        <w:t>.</w:t>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b/>
        </w:rPr>
      </w:pPr>
      <w:r>
        <w:rPr>
          <w:b/>
        </w:rPr>
        <w:t>6.</w:t>
        <w:tab/>
        <w:t>Rulemaking into the Priority of Service in the Event of a Natural Gas Diversion</w:t>
      </w:r>
    </w:p>
    <w:p>
      <w:pPr>
        <w:pStyle w:val="Normal"/>
        <w:ind w:hanging="720" w:start="720" w:end="0"/>
        <w:jc w:val="both"/>
        <w:rPr>
          <w:b/>
        </w:rPr>
      </w:pPr>
      <w:r>
        <w:rPr>
          <w:b/>
        </w:rPr>
      </w:r>
    </w:p>
    <w:p>
      <w:pPr>
        <w:pStyle w:val="Normal"/>
        <w:ind w:hanging="720" w:start="720" w:end="0"/>
        <w:jc w:val="both"/>
        <w:rPr/>
      </w:pPr>
      <w:r>
        <w:rPr>
          <w:b/>
        </w:rPr>
        <w:t>*</w:t>
        <w:tab/>
      </w:r>
      <w:r>
        <w:rPr/>
        <w:t>At the Commission meeting on March 15, 2001, an order instituting a rulemaking into the priority of service in the event of a natural gas curtailment or diversion was voted out.  The primary purpose of the rulemaking is to examine whether the priority of service for gas fired electric generators should be given a high priority than other non-core gas customers.  Only PG&amp;E and SoCalGas were named as respondents to the rulemaking (issues surrounding SDG&amp;E’s core and non-core gas are being addressed in another forum). The OII lists a number of issues and directs SoCalGas and PG&amp;E to submit comments addressing those issues by April 6</w:t>
      </w:r>
      <w:r>
        <w:rPr>
          <w:vertAlign w:val="superscript"/>
        </w:rPr>
        <w:t>th</w:t>
      </w:r>
      <w:r>
        <w:rPr/>
        <w:t xml:space="preserve"> (other parties may file opening comments as well).  A prehearing conference was held this proceeding on April 17</w:t>
      </w:r>
      <w:r>
        <w:rPr>
          <w:vertAlign w:val="superscript"/>
        </w:rPr>
        <w:t>th</w:t>
      </w:r>
      <w:r>
        <w:rPr/>
        <w:t>.  At that time a procedural schedule was not set and the issuance of a scoping memo (defining the parameters of the proceeding) was deferred until after the receipt of reply comments (April 27).</w:t>
      </w:r>
    </w:p>
    <w:p>
      <w:pPr>
        <w:pStyle w:val="Normal"/>
        <w:ind w:start="720" w:end="0"/>
        <w:jc w:val="both"/>
        <w:rPr/>
      </w:pPr>
      <w:r>
        <w:rPr/>
      </w:r>
    </w:p>
    <w:p>
      <w:pPr>
        <w:pStyle w:val="Normal"/>
        <w:ind w:start="720" w:end="0"/>
        <w:jc w:val="both"/>
        <w:rPr/>
      </w:pPr>
      <w:r>
        <w:rPr/>
        <w:t xml:space="preserve">    </w:t>
      </w:r>
      <w:r>
        <w:rPr>
          <w:rStyle w:val="zzmpTrailerItem"/>
        </w:rPr>
        <w:t>2704/009/X20615-1</w:t>
      </w:r>
      <w:r>
        <w:rPr/>
        <w:t xml:space="preserve"> </w:t>
      </w:r>
    </w:p>
    <w:sectPr>
      <w:headerReference w:type="default" r:id="rId2"/>
      <w:footerReference w:type="default" r:id="rId3"/>
      <w:footnotePr>
        <w:numFmt w:val="decimal"/>
      </w:footnotePr>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jc w:val="both"/>
        <w:rPr/>
      </w:pPr>
      <w:r>
        <w:rPr>
          <w:rStyle w:val="FootnoteCharacters"/>
        </w:rPr>
        <w:footnoteRef/>
      </w:r>
      <w:r>
        <w:rPr/>
        <w:t xml:space="preserve"> </w:t>
      </w:r>
      <w:r>
        <w:rPr/>
        <w:tab/>
        <w:t xml:space="preserve">While the rate increase will not hit customers bills immediately, SCE and PG&amp;E have been authorized to track the revenues which would have been generated by an additional three cents per kWh.  SCE and PG&amp;E will be able to collect this amount subsequent to the determination of the appropriate rate design.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061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2001-04-19T22:10:00Z</dcterms:created>
  <dc:creator>JMB</dc:creator>
  <dc:description/>
  <dc:language>en-CA</dc:language>
  <cp:lastModifiedBy>JMB</cp:lastModifiedBy>
  <cp:lastPrinted>2001-02-02T17:13:00Z</cp:lastPrinted>
  <dcterms:modified xsi:type="dcterms:W3CDTF">2001-04-19T22:10:00Z</dcterms:modified>
  <cp:revision>2</cp:revision>
  <dc:subject/>
  <dc:title>CPUC PROCEEDINGS (Active or Monitoring) </dc:title>
</cp:coreProperties>
</file>