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5/03/01)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630" w:start="720" w:end="0"/>
        <w:jc w:val="both"/>
        <w:rPr/>
      </w:pPr>
      <w:r>
        <w:rPr/>
        <w:t>*</w:t>
        <w:tab/>
        <w:t>On March 27</w:t>
      </w:r>
      <w:r>
        <w:rPr>
          <w:vertAlign w:val="superscript"/>
        </w:rPr>
        <w:t>th</w:t>
      </w:r>
      <w:r>
        <w:rPr/>
        <w:t>, a decision was issued in the Rate Stabilization proceeding which (1) adopted the TURN accounting proposal and thereby retains the current AB 1890 rate freeze construct, and (2) adopted a three cent per kWh rate increase (while also making the one cent increase adopted in January permanent). Both SCE and PG&amp;E have filed extensive applications for rehearing on the portion of the decision which adopted the TURN accounting proposal.  On the flip side, TURN filed an application for rehearing on the portion of the decision adopting the three-cent increase.</w:t>
      </w:r>
    </w:p>
    <w:p>
      <w:pPr>
        <w:pStyle w:val="Normal"/>
        <w:jc w:val="both"/>
        <w:rPr/>
      </w:pPr>
      <w:r>
        <w:rPr/>
        <w:t xml:space="preserve">  </w:t>
      </w:r>
    </w:p>
    <w:p>
      <w:pPr>
        <w:pStyle w:val="Normal"/>
        <w:ind w:start="720" w:end="0"/>
        <w:jc w:val="both"/>
        <w:rPr/>
      </w:pPr>
      <w:r>
        <w:rPr/>
        <w:t>The rate increase approved on March 27</w:t>
      </w:r>
      <w:r>
        <w:rPr>
          <w:vertAlign w:val="superscript"/>
        </w:rPr>
        <w:t>th</w:t>
      </w:r>
      <w:r>
        <w:rPr/>
        <w:t xml:space="preserve"> will not hit customers’ bills immediately.  Rather there will be a lag while the Commission determines the appropriate rate design.</w:t>
      </w:r>
      <w:r>
        <w:rPr>
          <w:rStyle w:val="FootnoteCharacters"/>
          <w:rStyle w:val="FootnoteReference"/>
        </w:rPr>
        <w:footnoteReference w:id="2"/>
      </w:r>
      <w:r>
        <w:rPr/>
        <w:t xml:space="preserve"> To this end, an Assigned Commissioner’s Ruling was issued.   The ACR stressed that heavy users of energy would be hit the hardest for that increment of power over a certain threshold. A prehearing conference was held on the matter on April 2, 2001.   At the prehearing conference Commissioner Lynch indicated that the goal was to have the rate increase hit customer’s bills by June 1</w:t>
      </w:r>
      <w:r>
        <w:rPr>
          <w:vertAlign w:val="superscript"/>
        </w:rPr>
        <w:t>st</w:t>
      </w:r>
      <w:r>
        <w:rPr/>
        <w:t>.  In order to make this happen, the UDCs have indicated that they need a final Commission decision on the adopted rate design by early May in order to get their billing systems set up appropriately.   On April 11, 2001, Commissioner Lynch issued an Assigned Commissioner’s Ruling wherein she provided further “guidance” on the design of the rates to recover the three cent per kwh increase.  Parties were directed to file any rate design proposals by April 13</w:t>
      </w:r>
      <w:r>
        <w:rPr>
          <w:vertAlign w:val="superscript"/>
        </w:rPr>
        <w:t>th</w:t>
      </w:r>
      <w:r>
        <w:rPr/>
        <w:t>. Enron Energy Services submitted such a proposal. A workshop to discuss the proposals, as well as a prehearing conference, were held on Monday April 16</w:t>
      </w:r>
      <w:r>
        <w:rPr>
          <w:vertAlign w:val="superscript"/>
        </w:rPr>
        <w:t>th</w:t>
      </w:r>
      <w:r>
        <w:rPr/>
        <w:t>, and the matter proceeded to hearing on Tuesday, the 17</w:t>
      </w:r>
      <w:r>
        <w:rPr>
          <w:vertAlign w:val="superscript"/>
        </w:rPr>
        <w:t>th</w:t>
      </w:r>
      <w:r>
        <w:rPr/>
        <w:t>.</w:t>
      </w:r>
    </w:p>
    <w:p>
      <w:pPr>
        <w:pStyle w:val="Normal"/>
        <w:ind w:start="720" w:end="0"/>
        <w:jc w:val="both"/>
        <w:rPr/>
      </w:pPr>
      <w:r>
        <w:rPr/>
      </w:r>
    </w:p>
    <w:p>
      <w:pPr>
        <w:pStyle w:val="Normal"/>
        <w:ind w:hanging="720" w:start="720" w:end="0"/>
        <w:jc w:val="both"/>
        <w:rPr/>
      </w:pPr>
      <w:r>
        <w:rPr/>
        <w:t>*</w:t>
        <w:tab/>
        <w:t>Hearings continued through April 26.  Enron’s proposal, which dealt with a limited form of real-time-pricing appeared to pick up some speed as the hearing went on as certain of the “experts” hired by the Commission to testify came out in favor of the proposal. Briefs were submitted on April 30th. A Proposed Decision is to be issued on May 8</w:t>
      </w:r>
      <w:r>
        <w:rPr>
          <w:vertAlign w:val="superscript"/>
        </w:rPr>
        <w:t>th</w:t>
      </w:r>
      <w:r>
        <w:rPr/>
        <w:t xml:space="preserve"> or 9</w:t>
      </w:r>
      <w:r>
        <w:rPr>
          <w:vertAlign w:val="superscript"/>
        </w:rPr>
        <w:t>th</w:t>
      </w:r>
      <w:r>
        <w:rPr/>
        <w:t>, Oral Argument will be held on May 11</w:t>
      </w:r>
      <w:r>
        <w:rPr>
          <w:vertAlign w:val="superscript"/>
        </w:rPr>
        <w:t>th</w:t>
      </w:r>
      <w:r>
        <w:rPr/>
        <w:t xml:space="preserve"> and the Commission intends to issue a decision on the matter on May 14, 2001. </w:t>
      </w:r>
    </w:p>
    <w:p>
      <w:pPr>
        <w:pStyle w:val="Normal"/>
        <w:ind w:hanging="720" w:start="720" w:end="0"/>
        <w:jc w:val="both"/>
        <w:rPr/>
      </w:pPr>
      <w:r>
        <w:rPr/>
      </w:r>
    </w:p>
    <w:p>
      <w:pPr>
        <w:pStyle w:val="Normal"/>
        <w:ind w:hanging="720" w:start="720" w:end="0"/>
        <w:jc w:val="both"/>
        <w:rPr>
          <w:b/>
        </w:rPr>
      </w:pPr>
      <w:r>
        <w:rPr>
          <w:b/>
        </w:rPr>
      </w:r>
      <w:r>
        <w:br w:type="page"/>
      </w:r>
    </w:p>
    <w:p>
      <w:pPr>
        <w:pStyle w:val="Normal"/>
        <w:ind w:hanging="720" w:start="720" w:end="0"/>
        <w:jc w:val="both"/>
        <w:rPr>
          <w:b/>
        </w:rPr>
      </w:pPr>
      <w:r>
        <w:rPr>
          <w:b/>
        </w:rPr>
        <w:t>2.</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tabs>
          <w:tab w:val="clear" w:pos="720"/>
          <w:tab w:val="left" w:pos="-270" w:leader="none"/>
        </w:tabs>
        <w:ind w:start="720" w:end="0"/>
        <w:jc w:val="both"/>
        <w:rPr/>
      </w:pPr>
      <w:r>
        <w:rPr/>
        <w:t>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An all party meeting with Commissioner Duque was held on February 9</w:t>
      </w:r>
      <w:r>
        <w:rPr>
          <w:vertAlign w:val="superscript"/>
        </w:rPr>
        <w:t>th</w:t>
      </w:r>
      <w:r>
        <w:rPr/>
        <w:t>. A prehearing conference is scheduled on February 16th in San Diego As Enron is not attending the prehearing conference, it submitted a prehearing conference statement (as allowed by the ALJ) to keep itself in the mix in case it decides to become active.   On February 23, 2001, interested parties served briefs on the issue as to whether the Commission can implement a surcharge given the rate ceiling implemented by the legislature under AB 265.</w:t>
      </w:r>
    </w:p>
    <w:p>
      <w:pPr>
        <w:pStyle w:val="Normal"/>
        <w:tabs>
          <w:tab w:val="clear" w:pos="720"/>
          <w:tab w:val="left" w:pos="-270" w:leader="none"/>
        </w:tabs>
        <w:ind w:start="720" w:end="0"/>
        <w:jc w:val="both"/>
        <w:rPr/>
      </w:pPr>
      <w:r>
        <w:rPr/>
      </w:r>
    </w:p>
    <w:p>
      <w:pPr>
        <w:pStyle w:val="Normal"/>
        <w:ind w:hanging="720" w:start="720" w:end="0"/>
        <w:jc w:val="both"/>
        <w:rPr/>
      </w:pPr>
      <w:r>
        <w:rPr/>
        <w:tab/>
        <w:t xml:space="preserve">In an Assigned Commissioner’s ruling issued on March 29, 2001, a second prehearing conference was set to consider tiered rate design. The ruling referenced the ACR issued in the Rate Stabilization proceeding, stating that “ACR proposes a tiered rate design for all customer classes and sets forth principles that underlie the proposed rated design for SDG&amp;E as well as Edison and PG&amp;E.”  As SDG&amp;E has not been authorized to collect and additional 3 cents in its rates, it is unclear how any new rate design developed would apply to SDG&amp;E.  At the prehearing conference, Assigned Administrative Law Judge Wetzell stated that the Commission’s preliminary thinking was that a separate phase of the San Diego application would be created – “Rate Design Phase” – which would then be consolidated with the SCE and PG&amp;E proceeding.  Parties were directed to file comments on such approach.  In an Assigned Commissioner’s Ruling issued on April 11, 2001, the Commission reversed course and stated that it intended to address issues for SDG&amp;E under a separate procedural process, and would provide further direction to parties at a later date.    </w:t>
      </w:r>
    </w:p>
    <w:p>
      <w:pPr>
        <w:pStyle w:val="Normal"/>
        <w:jc w:val="both"/>
        <w:rPr/>
      </w:pPr>
      <w:r>
        <w:rPr/>
      </w:r>
    </w:p>
    <w:p>
      <w:pPr>
        <w:pStyle w:val="Normal"/>
        <w:tabs>
          <w:tab w:val="clear" w:pos="720"/>
          <w:tab w:val="left" w:pos="-270" w:leader="none"/>
        </w:tabs>
        <w:ind w:hanging="720" w:start="720" w:end="0"/>
        <w:jc w:val="both"/>
        <w:rPr/>
      </w:pPr>
      <w:r>
        <w:rPr/>
        <w:t>*</w:t>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w:t>
      </w:r>
    </w:p>
    <w:p>
      <w:pPr>
        <w:pStyle w:val="Normal"/>
        <w:tabs>
          <w:tab w:val="clear" w:pos="720"/>
          <w:tab w:val="left" w:pos="-270" w:leader="none"/>
        </w:tabs>
        <w:ind w:start="720" w:end="0"/>
        <w:jc w:val="both"/>
        <w:rPr/>
      </w:pPr>
      <w:r>
        <w:rPr/>
      </w:r>
    </w:p>
    <w:p>
      <w:pPr>
        <w:pStyle w:val="Normal"/>
        <w:tabs>
          <w:tab w:val="clear" w:pos="720"/>
          <w:tab w:val="left" w:pos="-270" w:leader="none"/>
        </w:tabs>
        <w:ind w:hanging="720" w:start="720" w:end="0"/>
        <w:jc w:val="both"/>
        <w:rPr/>
      </w:pPr>
      <w:r>
        <w:rPr/>
        <w:t>*</w:t>
        <w:tab/>
        <w:t>On April 24</w:t>
      </w:r>
      <w:r>
        <w:rPr>
          <w:vertAlign w:val="superscript"/>
        </w:rPr>
        <w:t>th</w:t>
      </w:r>
      <w:r>
        <w:rPr/>
        <w:t xml:space="preserve"> the Commission issued a proposed decision aimed at implementing the portion of the bill establishing the frozen rate of 6.5 cents.  The PD stated that this frozen rate would only apply to bundled service customers.  The Commission was due to vote on the PD at its May 3</w:t>
      </w:r>
      <w:r>
        <w:rPr>
          <w:vertAlign w:val="superscript"/>
        </w:rPr>
        <w:t>rd</w:t>
      </w:r>
      <w:r>
        <w:rPr/>
        <w:t xml:space="preserve"> meeting, but it was held.</w:t>
      </w:r>
    </w:p>
    <w:p>
      <w:pPr>
        <w:pStyle w:val="Normal"/>
        <w:tabs>
          <w:tab w:val="clear" w:pos="720"/>
          <w:tab w:val="left" w:pos="-270" w:leader="none"/>
        </w:tabs>
        <w:ind w:start="720" w:end="0"/>
        <w:jc w:val="both"/>
        <w:rPr/>
      </w:pPr>
      <w:r>
        <w:rPr/>
      </w:r>
    </w:p>
    <w:p>
      <w:pPr>
        <w:pStyle w:val="Normal"/>
        <w:tabs>
          <w:tab w:val="clear" w:pos="720"/>
          <w:tab w:val="left" w:pos="-270" w:leader="none"/>
        </w:tabs>
        <w:ind w:hanging="720" w:start="720" w:end="0"/>
        <w:jc w:val="both"/>
        <w:rPr/>
      </w:pPr>
      <w:r>
        <w:rPr/>
        <w:t>*</w:t>
        <w:tab/>
        <w:t>On April 30</w:t>
      </w:r>
      <w:r>
        <w:rPr>
          <w:vertAlign w:val="superscript"/>
        </w:rPr>
        <w:t>th</w:t>
      </w:r>
      <w:r>
        <w:rPr/>
        <w:t>, an Assigned Commissioner’s Ruling was issued to set up a procedural vehicle for addressing potential adjustments to the 6.5 cent frozen rate and rate design for such potential adjusted rates.  The procedure is on an extremely fast track, with a final Commission decision scheduled to be issued by the end of June.</w:t>
      </w:r>
    </w:p>
    <w:p>
      <w:pPr>
        <w:pStyle w:val="Normal"/>
        <w:tabs>
          <w:tab w:val="clear" w:pos="720"/>
          <w:tab w:val="left" w:pos="-270" w:leader="none"/>
        </w:tabs>
        <w:ind w:start="720" w:end="0"/>
        <w:jc w:val="both"/>
        <w:rPr/>
      </w:pPr>
      <w:r>
        <w:rPr/>
        <w:t xml:space="preserve">        </w:t>
      </w:r>
    </w:p>
    <w:p>
      <w:pPr>
        <w:pStyle w:val="Normal"/>
        <w:jc w:val="both"/>
        <w:rPr>
          <w:b/>
        </w:rPr>
      </w:pPr>
      <w:r>
        <w:rPr>
          <w:b/>
        </w:rPr>
        <w:t>3.</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thought on this latter change is that as gas fired cogeneration units are unable to purchase gas at the Malin price, they will not be able to operate at the price that they will be paid for their energy.  </w:t>
      </w:r>
    </w:p>
    <w:p>
      <w:pPr>
        <w:pStyle w:val="Normal"/>
        <w:ind w:start="720" w:end="0"/>
        <w:jc w:val="both"/>
        <w:rPr/>
      </w:pPr>
      <w:r>
        <w:rPr/>
      </w:r>
    </w:p>
    <w:p>
      <w:pPr>
        <w:pStyle w:val="Normal"/>
        <w:ind w:hanging="810" w:start="720" w:end="0"/>
        <w:jc w:val="both"/>
        <w:rPr/>
      </w:pPr>
      <w:r>
        <w:rPr/>
        <w:tab/>
        <w:t xml:space="preserve">At the Commission’s April 19, 2001 meeting it voted out an Order Instituting an Investigation into the Performance of Qualifying Facilities Under Existing Contracts.  In the Order, the Commission defined the preliminary scope of the proceeding as “exploring whether QFs are meeting (and will continue to meet) their lawful performance obligations, whether the Commission should take further action to ensure that the utilities and QFs are meeting their contractual obligations.”  SCE, PG&amp;E and SDG&amp;E have been direct to provide the Energy Division, within seven days, certain information about their QF contracts and whether QFs have been performing thereunder.   </w:t>
      </w:r>
    </w:p>
    <w:p>
      <w:pPr>
        <w:pStyle w:val="Normal"/>
        <w:ind w:start="720" w:end="0"/>
        <w:jc w:val="both"/>
        <w:rPr/>
      </w:pPr>
      <w:r>
        <w:rPr/>
      </w:r>
    </w:p>
    <w:p>
      <w:pPr>
        <w:pStyle w:val="Normal"/>
        <w:ind w:hanging="720" w:start="720" w:end="0"/>
        <w:jc w:val="both"/>
        <w:rPr>
          <w:b/>
        </w:rPr>
      </w:pPr>
      <w:r>
        <w:rPr>
          <w:b/>
        </w:rPr>
        <w:t>4.</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A prehearing conference was held on March 6.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xml:space="preserve">.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5.</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pPr>
      <w:r>
        <w:rPr/>
      </w:r>
      <w:r>
        <w:br w:type="page"/>
      </w:r>
    </w:p>
    <w:p>
      <w:pPr>
        <w:pStyle w:val="Normal"/>
        <w:ind w:hanging="720" w:start="720" w:end="0"/>
        <w:jc w:val="both"/>
        <w:rPr>
          <w:b/>
        </w:rPr>
      </w:pPr>
      <w:r>
        <w:rPr>
          <w:b/>
        </w:rPr>
        <w:t>*6.</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b/>
        </w:rPr>
      </w:pPr>
      <w:r>
        <w:rPr>
          <w:b/>
        </w:rPr>
        <w:t>7.</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A prehearing conference was held this proceeding on April 17</w:t>
      </w:r>
      <w:r>
        <w:rPr>
          <w:vertAlign w:val="superscript"/>
        </w:rPr>
        <w:t>th</w:t>
      </w:r>
      <w:r>
        <w:rPr/>
        <w:t>.  At that time a procedural schedule was not set and the issuance of a scoping memo (defining the parameters of the proceeding) was deferred until after the receipt of reply comments (April 27).</w:t>
      </w:r>
    </w:p>
    <w:p>
      <w:pPr>
        <w:pStyle w:val="Normal"/>
        <w:ind w:hanging="720" w:start="720" w:end="0"/>
        <w:jc w:val="both"/>
        <w:rPr/>
      </w:pPr>
      <w:r>
        <w:rPr/>
      </w:r>
    </w:p>
    <w:p>
      <w:pPr>
        <w:pStyle w:val="Normal"/>
        <w:ind w:hanging="720" w:start="720" w:end="0"/>
        <w:jc w:val="both"/>
        <w:rPr>
          <w:b/>
        </w:rPr>
      </w:pPr>
      <w:r>
        <w:rPr>
          <w:b/>
        </w:rPr>
        <w:t>*8.</w:t>
        <w:tab/>
        <w:t>PG&amp;E Request for Emergency Assistance from SoCalGas</w:t>
      </w:r>
      <w:r>
        <w:rPr>
          <w:rStyle w:val="FootnoteCharacters"/>
          <w:rStyle w:val="FootnoteReference"/>
          <w:b/>
        </w:rPr>
        <w:footnoteReference w:id="3"/>
      </w:r>
    </w:p>
    <w:p>
      <w:pPr>
        <w:pStyle w:val="Normal"/>
        <w:ind w:hanging="720" w:start="720" w:end="0"/>
        <w:jc w:val="both"/>
        <w:rPr/>
      </w:pPr>
      <w:r>
        <w:rPr/>
        <w:tab/>
      </w:r>
      <w:r>
        <w:rPr>
          <w:b/>
        </w:rPr>
        <w:t>A. 01-01-024</w:t>
        <w:tab/>
      </w:r>
    </w:p>
    <w:p>
      <w:pPr>
        <w:pStyle w:val="Normal"/>
        <w:ind w:start="720" w:end="0"/>
        <w:jc w:val="both"/>
        <w:rPr>
          <w:b/>
        </w:rPr>
      </w:pPr>
      <w:r>
        <w:rPr>
          <w:b/>
        </w:rPr>
      </w:r>
    </w:p>
    <w:p>
      <w:pPr>
        <w:pStyle w:val="Normal"/>
        <w:ind w:start="720" w:end="0"/>
        <w:jc w:val="both"/>
        <w:rPr/>
      </w:pPr>
      <w:r>
        <w:rPr/>
        <w:t>In January, PG&amp;E filed an application with the Commission seeking a finding on an imminent gas supply emergency and an order directing SoCalGas to provide mutual assistance.  While there was some initial action on the application, no decision was issued.  On April 30</w:t>
      </w:r>
      <w:r>
        <w:rPr>
          <w:vertAlign w:val="superscript"/>
        </w:rPr>
        <w:t>th</w:t>
      </w:r>
      <w:r>
        <w:rPr/>
        <w:t xml:space="preserve">, PG&amp;E filed a Motion to withdraw the application, citing that changed circumstances indicate that PG&amp;E will not require emergency assistance in the near term. PG&amp;E requests that the Commission grant the Motion without prejudice to filing another such request if the situation dictates.   </w:t>
      </w:r>
    </w:p>
    <w:p>
      <w:pPr>
        <w:pStyle w:val="Normal"/>
        <w:ind w:start="720" w:end="0"/>
        <w:jc w:val="both"/>
        <w:rPr/>
      </w:pPr>
      <w:r>
        <w:rPr/>
      </w:r>
    </w:p>
    <w:p>
      <w:pPr>
        <w:pStyle w:val="Normal"/>
        <w:ind w:hanging="720" w:start="720" w:end="0"/>
        <w:jc w:val="both"/>
        <w:rPr/>
      </w:pPr>
      <w:r>
        <w:rPr/>
        <w:t xml:space="preserve">    </w:t>
      </w:r>
      <w:r>
        <w:rPr>
          <w:rStyle w:val="zzmpTrailerItem"/>
        </w:rPr>
        <w:t>2704/009/X20615-1</w:t>
      </w:r>
      <w:r>
        <w:rPr/>
        <w:t xml:space="preserve"> </w:t>
      </w:r>
    </w:p>
    <w:sectPr>
      <w:headerReference w:type="default" r:id="rId2"/>
      <w:footerReference w:type="default" r:id="rId3"/>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While the rate increase will not hit customers bills immediately, SCE and PG&amp;E have been authorized to track the revenues which would have been generated by an additional three cents per kWh.  SCE and PG&amp;E will be able to collect this amount subsequent to the determination of the appropriate rate design.   </w:t>
      </w:r>
    </w:p>
  </w:footnote>
  <w:footnote w:id="3">
    <w:p>
      <w:pPr>
        <w:pStyle w:val="FootnoteText"/>
        <w:spacing w:before="0" w:after="240"/>
        <w:ind w:hanging="720" w:start="720" w:end="0"/>
        <w:jc w:val="both"/>
        <w:rPr/>
      </w:pPr>
      <w:r>
        <w:rPr>
          <w:rStyle w:val="FootnoteCharacters"/>
        </w:rPr>
        <w:footnoteRef/>
      </w:r>
      <w:r>
        <w:rPr/>
        <w:t xml:space="preserve"> </w:t>
      </w:r>
      <w:r>
        <w:rPr/>
        <w:tab/>
        <w:t xml:space="preserve">This item had been on earlier summaries, but had dropped off for lack of action.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2001-05-03T20:15:00Z</dcterms:created>
  <dc:creator>JMB</dc:creator>
  <dc:description/>
  <dc:language>en-CA</dc:language>
  <cp:lastModifiedBy>JMB</cp:lastModifiedBy>
  <cp:lastPrinted>2001-02-02T17:13:00Z</cp:lastPrinted>
  <dcterms:modified xsi:type="dcterms:W3CDTF">2001-05-03T20:15:00Z</dcterms:modified>
  <cp:revision>2</cp:revision>
  <dc:subject/>
  <dc:title>CPUC PROCEEDINGS (Active or Monitoring) </dc:title>
</cp:coreProperties>
</file>