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8/23/01)</w:t>
      </w:r>
    </w:p>
    <w:p>
      <w:pPr>
        <w:pStyle w:val="Normal"/>
        <w:jc w:val="center"/>
        <w:rPr>
          <w:b/>
        </w:rPr>
      </w:pPr>
      <w:r>
        <w:rPr>
          <w:b/>
        </w:rPr>
        <w:t>(* indicates a change to the item/paragraph or a new item)</w:t>
      </w:r>
    </w:p>
    <w:p>
      <w:pPr>
        <w:pStyle w:val="Normal"/>
        <w:jc w:val="center"/>
        <w:rPr>
          <w:b/>
        </w:rPr>
      </w:pPr>
      <w:r>
        <w:rPr>
          <w:b/>
        </w:rPr>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720" w:start="720" w:end="0"/>
        <w:jc w:val="both"/>
        <w:rPr/>
      </w:pPr>
      <w:r>
        <w:rPr/>
        <w:tab/>
        <w:t>At a continuation meeting held on May 15</w:t>
      </w:r>
      <w:r>
        <w:rPr>
          <w:vertAlign w:val="superscript"/>
        </w:rPr>
        <w:t>th</w:t>
      </w:r>
      <w:r>
        <w:rPr/>
        <w:t>, the Commission voted out Decision 01-05-064, approving the cost allocation and rate design for the previously approved three cent per kWh rate increase.  SCE and PG&amp;E filed compliance advice letters on May 22, 2001 and the new rates went into effect on June 1</w:t>
      </w:r>
      <w:r>
        <w:rPr>
          <w:vertAlign w:val="superscript"/>
        </w:rPr>
        <w:t>st</w:t>
      </w:r>
      <w:r>
        <w:rPr/>
        <w:t xml:space="preserve"> (June 3</w:t>
      </w:r>
      <w:r>
        <w:rPr>
          <w:vertAlign w:val="superscript"/>
        </w:rPr>
        <w:t>rd</w:t>
      </w:r>
      <w:r>
        <w:rPr/>
        <w:t xml:space="preserve"> for SCE). </w:t>
      </w:r>
    </w:p>
    <w:p>
      <w:pPr>
        <w:pStyle w:val="Normal"/>
        <w:ind w:hanging="720" w:start="720" w:end="0"/>
        <w:jc w:val="both"/>
        <w:rPr/>
      </w:pPr>
      <w:r>
        <w:rPr/>
      </w:r>
    </w:p>
    <w:p>
      <w:pPr>
        <w:pStyle w:val="Normal"/>
        <w:ind w:hanging="720" w:start="720" w:end="0"/>
        <w:jc w:val="both"/>
        <w:rPr/>
      </w:pPr>
      <w:r>
        <w:rPr/>
        <w:t>*</w:t>
        <w:tab/>
        <w:t>On June 21</w:t>
      </w:r>
      <w:r>
        <w:rPr>
          <w:vertAlign w:val="superscript"/>
        </w:rPr>
        <w:t>st</w:t>
      </w:r>
      <w:r>
        <w:rPr/>
        <w:t xml:space="preserve"> the California Energy Commission (a primary proponent of real time pricing) filed a Petition to Modify Decision 01-05-064, requesting immediate adoption of a real time pricing tariff (which it appended to the filing).  The CEC asked for comments on the petition by June 26</w:t>
      </w:r>
      <w:r>
        <w:rPr>
          <w:vertAlign w:val="superscript"/>
        </w:rPr>
        <w:t>th</w:t>
      </w:r>
      <w:r>
        <w:rPr/>
        <w:t xml:space="preserve"> and for the Commission to vote on it at their June 28</w:t>
      </w:r>
      <w:r>
        <w:rPr>
          <w:vertAlign w:val="superscript"/>
        </w:rPr>
        <w:t>th</w:t>
      </w:r>
      <w:r>
        <w:rPr/>
        <w:t xml:space="preserve"> meeting. On July 19</w:t>
      </w:r>
      <w:r>
        <w:rPr>
          <w:vertAlign w:val="superscript"/>
        </w:rPr>
        <w:t>th</w:t>
      </w:r>
      <w:r>
        <w:rPr/>
        <w:t xml:space="preserve"> a Proposed Decision was issued rejecting the CEC’s proposed tariff and setting forth the Commission’s views on what a real time pricing tariff should look like.  The PD was voted out at the August 2</w:t>
      </w:r>
      <w:r>
        <w:rPr>
          <w:vertAlign w:val="superscript"/>
        </w:rPr>
        <w:t>nd</w:t>
      </w:r>
      <w:r>
        <w:rPr/>
        <w:t xml:space="preserve"> meeting.  On August 17</w:t>
      </w:r>
      <w:r>
        <w:rPr>
          <w:vertAlign w:val="superscript"/>
        </w:rPr>
        <w:t>th</w:t>
      </w:r>
      <w:r>
        <w:rPr/>
        <w:t xml:space="preserve"> the UDCs submitted real time pricing proposals pursuant to the guidelines set forth in the decision .</w:t>
      </w:r>
    </w:p>
    <w:p>
      <w:pPr>
        <w:pStyle w:val="Normal"/>
        <w:ind w:hanging="720" w:start="720" w:end="0"/>
        <w:jc w:val="both"/>
        <w:rPr/>
      </w:pPr>
      <w:r>
        <w:rPr/>
      </w:r>
    </w:p>
    <w:p>
      <w:pPr>
        <w:pStyle w:val="Normal"/>
        <w:ind w:hanging="720" w:start="720" w:end="0"/>
        <w:jc w:val="both"/>
        <w:rPr>
          <w:b/>
        </w:rPr>
      </w:pPr>
      <w:r>
        <w:rPr/>
        <w:t xml:space="preserve"> </w:t>
      </w:r>
      <w:r>
        <w:rPr/>
        <w:t>*</w:t>
        <w:tab/>
        <w:t>On June 15, 2001, a ruling was issued in this docket setting a hearing schedule for determining the revenue requirements of SCE, PG&amp;E and SDG&amp;E related to retained generation, QFs, bilateral contracts, and ancillary services. The UDCs were directed to file testimony by June 20</w:t>
      </w:r>
      <w:r>
        <w:rPr>
          <w:vertAlign w:val="superscript"/>
        </w:rPr>
        <w:t>th</w:t>
      </w:r>
      <w:r>
        <w:rPr/>
        <w:t>.  At the request of ORA, the remaining schedule was delayed by a couple of weeks such that Intervenor testimony is due July 16th.  A prehearing conference is to be held on July 19th, with hearings starting on July 23rd.  In the meantime, SCE and PG&amp;E filed motions requesting the issue of the allocation of DWR’ revenue requirement be brought into the retained generation proceeding.  On May 2</w:t>
      </w:r>
      <w:r>
        <w:rPr>
          <w:vertAlign w:val="superscript"/>
        </w:rPr>
        <w:t>nd</w:t>
      </w:r>
      <w:r>
        <w:rPr/>
        <w:t>, DWR had sent a letter to the Commission stating its revenue requirement through June 2002, and allocating that requirement among the three UDCs.  SCE and PG&amp;E want to examine whether the allocation among the three UDCs was made equitably, what the ultimate allocation to customers should be, and to ensure that recovery of DWR’s revenue requirement does not endanger their ability to recover their retained generation revenue requirement.  This motion was denied by way of a July 12</w:t>
      </w:r>
      <w:r>
        <w:rPr>
          <w:vertAlign w:val="superscript"/>
        </w:rPr>
        <w:t>th</w:t>
      </w:r>
      <w:r>
        <w:rPr/>
        <w:t xml:space="preserve"> ALJ Ruling which noted that an alternative schedule would be for separate consideration of the DWR revenue requirement.    Finally, on July 3</w:t>
      </w:r>
      <w:r>
        <w:rPr>
          <w:vertAlign w:val="superscript"/>
        </w:rPr>
        <w:t>rd</w:t>
      </w:r>
      <w:r>
        <w:rPr/>
        <w:t>, PG&amp;E filed a Motion requesting that the Commission issue a decision determining that market valuation of PG&amp;E’s retain generation assets and order that the market value so determined be used for the purposes of determining PG&amp;E’s retained generation revenue requirement. PG&amp;E’s motion was denied by way of a July 18</w:t>
      </w:r>
      <w:r>
        <w:rPr>
          <w:vertAlign w:val="superscript"/>
        </w:rPr>
        <w:t>th</w:t>
      </w:r>
      <w:r>
        <w:rPr/>
        <w:t xml:space="preserve"> evidentiary ruling. The hearings on the UDCs retained generation were held this week (July 23</w:t>
      </w:r>
      <w:r>
        <w:rPr>
          <w:vertAlign w:val="superscript"/>
        </w:rPr>
        <w:t>rd</w:t>
      </w:r>
      <w:r>
        <w:rPr/>
        <w:t>-27</w:t>
      </w:r>
      <w:r>
        <w:rPr>
          <w:vertAlign w:val="superscript"/>
        </w:rPr>
        <w:t>th</w:t>
      </w:r>
      <w:r>
        <w:rPr/>
        <w:t xml:space="preserve">).                     </w:t>
      </w:r>
    </w:p>
    <w:p>
      <w:pPr>
        <w:pStyle w:val="Normal"/>
        <w:ind w:hanging="720" w:start="720" w:end="0"/>
        <w:jc w:val="both"/>
        <w:rPr>
          <w:b/>
        </w:rPr>
      </w:pPr>
      <w:r>
        <w:rPr>
          <w:b/>
        </w:rPr>
      </w:r>
    </w:p>
    <w:p>
      <w:pPr>
        <w:pStyle w:val="Normal"/>
        <w:ind w:hanging="720" w:start="720" w:end="0"/>
        <w:jc w:val="both"/>
        <w:rPr/>
      </w:pPr>
      <w:r>
        <w:rPr>
          <w:b/>
        </w:rPr>
        <w:t>*</w:t>
        <w:tab/>
      </w:r>
      <w:r>
        <w:rPr/>
        <w:t>On July 18</w:t>
      </w:r>
      <w:r>
        <w:rPr>
          <w:vertAlign w:val="superscript"/>
        </w:rPr>
        <w:t>th</w:t>
      </w:r>
      <w:r>
        <w:rPr/>
        <w:t>, an Assigned Commissioner’s Ruling was issued seeking comments on a draft Rate Agreement between the California Department of Water Resources and the Public Utilities Commission.  The key provisions of the Rate Agreement are that at least annually (and more often if necessary) DWR will file its Retail Revenue Requirement with the Commission, with supporting documentation.  The Commission must accept the determination by DWR of its retail revenue requirement as submitted unless it includes types of expenses not provided for in the agreement or arithmetic errors. In addition, the Commission agrees to impose charges on end use customers sufficient to provide moneys in the amounts necessary to satisfy the retail revenue requirement.  Such charges would go into effect no later than 90 days subsequent to DWR’s revenue requirement to the Commission.</w:t>
        <w:tab/>
        <w:t>Comments on the draft Rate Agreement were due on August 1</w:t>
      </w:r>
      <w:r>
        <w:rPr>
          <w:vertAlign w:val="superscript"/>
        </w:rPr>
        <w:t>st</w:t>
      </w:r>
      <w:r>
        <w:rPr/>
        <w:t>. Subsequently, on August 10</w:t>
      </w:r>
      <w:r>
        <w:rPr>
          <w:vertAlign w:val="superscript"/>
        </w:rPr>
        <w:t>th</w:t>
      </w:r>
      <w:r>
        <w:rPr/>
        <w:t>, DWR filed a responsive document defending the rate agreement and asking the Commission to approve it without change.  Through Ruling issued August 13</w:t>
      </w:r>
      <w:r>
        <w:rPr>
          <w:vertAlign w:val="superscript"/>
        </w:rPr>
        <w:t>th</w:t>
      </w:r>
      <w:r>
        <w:rPr/>
        <w:t>, parties were allowed to comment on DWR’s response by August 15</w:t>
      </w:r>
      <w:r>
        <w:rPr>
          <w:vertAlign w:val="superscript"/>
        </w:rPr>
        <w:t>th</w:t>
      </w:r>
      <w:r>
        <w:rPr/>
        <w:t>. The Commission was due to vote on the Rate Agreement at its August 23</w:t>
      </w:r>
      <w:r>
        <w:rPr>
          <w:vertAlign w:val="superscript"/>
        </w:rPr>
        <w:t>rd</w:t>
      </w:r>
      <w:r>
        <w:rPr/>
        <w:t xml:space="preserve"> meeting, but has delayed the vote until its September 6</w:t>
      </w:r>
      <w:r>
        <w:rPr>
          <w:vertAlign w:val="superscript"/>
        </w:rPr>
        <w:t>th</w:t>
      </w:r>
      <w:r>
        <w:rPr/>
        <w:t xml:space="preserve"> meeting.  In a press release issued August 21</w:t>
      </w:r>
      <w:r>
        <w:rPr>
          <w:vertAlign w:val="superscript"/>
        </w:rPr>
        <w:t>st</w:t>
      </w:r>
      <w:r>
        <w:rPr/>
        <w:t>, President Lynch indicated that a proposed decision on the matter would be issued no later than August 27</w:t>
      </w:r>
      <w:r>
        <w:rPr>
          <w:vertAlign w:val="superscript"/>
        </w:rPr>
        <w:t>th</w:t>
      </w:r>
      <w:r>
        <w:rPr/>
        <w:t xml:space="preserve">, giving parties a week to comment.       </w:t>
      </w:r>
    </w:p>
    <w:p>
      <w:pPr>
        <w:pStyle w:val="Normal"/>
        <w:ind w:hanging="720" w:start="720" w:end="0"/>
        <w:jc w:val="both"/>
        <w:rPr>
          <w:b/>
        </w:rPr>
      </w:pPr>
      <w:r>
        <w:rPr>
          <w:b/>
        </w:rPr>
      </w:r>
    </w:p>
    <w:p>
      <w:pPr>
        <w:pStyle w:val="Normal"/>
        <w:ind w:hanging="720" w:start="720" w:end="0"/>
        <w:jc w:val="both"/>
        <w:rPr>
          <w:b/>
        </w:rPr>
      </w:pPr>
      <w:r>
        <w:rPr>
          <w:b/>
        </w:rPr>
      </w:r>
    </w:p>
    <w:p>
      <w:pPr>
        <w:pStyle w:val="Normal"/>
        <w:ind w:hanging="720" w:start="720" w:end="0"/>
        <w:jc w:val="both"/>
        <w:rPr/>
      </w:pPr>
      <w:r>
        <w:rPr>
          <w:b/>
        </w:rPr>
        <w:t>*</w:t>
        <w:tab/>
      </w:r>
      <w:r>
        <w:rPr/>
        <w:t>On July 24</w:t>
      </w:r>
      <w:r>
        <w:rPr>
          <w:vertAlign w:val="superscript"/>
        </w:rPr>
        <w:t>th</w:t>
      </w:r>
      <w:r>
        <w:rPr/>
        <w:t>, a Joint Assigned Commissioner’s Ruling was issued soliciting comments on DWR’s revised revenue requirement submittal.  On July 23</w:t>
      </w:r>
      <w:r>
        <w:rPr>
          <w:vertAlign w:val="superscript"/>
        </w:rPr>
        <w:t xml:space="preserve">rd, </w:t>
      </w:r>
      <w:r>
        <w:rPr/>
        <w:t>DWR had submitted a revised revenue requirement of $13.072 billion for electricity purchases during the period between January 17, 2001 and December 31, 2002.  The revenue, which is expected to pay for 118,930 GWh of power is divided among the three UDCs as follows: PG&amp;E = $5.2 billion; SCE = $ 5.8 billion; and SDG&amp;E =  $2.1 billion. Comments were due on DWR’s submission on August 3</w:t>
      </w:r>
      <w:r>
        <w:rPr>
          <w:vertAlign w:val="superscript"/>
        </w:rPr>
        <w:t>rd</w:t>
      </w:r>
      <w:r>
        <w:rPr/>
        <w:t>.   On August 7, 2001, DWR submitted a revised revenue requirement based on a reduced estimated net short position for the three UDCs.  The revised revenue requirement is $12.6 million for 116,084 GWH of sales.  By ruling issued August 9</w:t>
      </w:r>
      <w:r>
        <w:rPr>
          <w:vertAlign w:val="superscript"/>
        </w:rPr>
        <w:t>th</w:t>
      </w:r>
      <w:r>
        <w:rPr/>
        <w:t>, parties were given to August 15</w:t>
      </w:r>
      <w:r>
        <w:rPr>
          <w:vertAlign w:val="superscript"/>
        </w:rPr>
        <w:t>th</w:t>
      </w:r>
      <w:r>
        <w:rPr/>
        <w:t xml:space="preserve"> to comment on the revised revenue requirement. Similar to the Rate Agreement discussed above, the Commission was due to vote on the DWR revenue requirement at its August 23</w:t>
      </w:r>
      <w:r>
        <w:rPr>
          <w:vertAlign w:val="superscript"/>
        </w:rPr>
        <w:t>rd</w:t>
      </w:r>
      <w:r>
        <w:rPr/>
        <w:t xml:space="preserve"> meeting but has postponed it until September 6</w:t>
      </w:r>
      <w:r>
        <w:rPr>
          <w:vertAlign w:val="superscript"/>
        </w:rPr>
        <w:t>th</w:t>
      </w:r>
      <w:r>
        <w:rPr/>
        <w:t xml:space="preserve">. </w:t>
      </w:r>
    </w:p>
    <w:p>
      <w:pPr>
        <w:pStyle w:val="Normal"/>
        <w:ind w:hanging="720" w:start="720" w:end="0"/>
        <w:jc w:val="both"/>
        <w:rPr/>
      </w:pPr>
      <w:r>
        <w:rPr/>
      </w:r>
    </w:p>
    <w:p>
      <w:pPr>
        <w:pStyle w:val="Normal"/>
        <w:ind w:hanging="720" w:start="720" w:end="0"/>
        <w:jc w:val="both"/>
        <w:rPr/>
      </w:pPr>
      <w:r>
        <w:rPr/>
        <w:t xml:space="preserve"> </w:t>
      </w:r>
      <w:r>
        <w:rPr>
          <w:b/>
        </w:rPr>
        <w:t>2.</w:t>
        <w:tab/>
        <w:t>SDG&amp;E Application for Surcharge</w:t>
      </w:r>
    </w:p>
    <w:p>
      <w:pPr>
        <w:pStyle w:val="Normal"/>
        <w:ind w:start="720" w:end="0"/>
        <w:jc w:val="both"/>
        <w:rPr>
          <w:b/>
        </w:rPr>
      </w:pPr>
      <w:r>
        <w:rPr>
          <w:b/>
        </w:rPr>
        <w:t>(A. 01-01-044)</w:t>
      </w:r>
    </w:p>
    <w:p>
      <w:pPr>
        <w:pStyle w:val="Normal"/>
        <w:ind w:start="720" w:end="0"/>
        <w:jc w:val="both"/>
        <w:rPr>
          <w:b/>
        </w:rPr>
      </w:pPr>
      <w:r>
        <w:rPr>
          <w:b/>
        </w:rPr>
      </w:r>
    </w:p>
    <w:p>
      <w:pPr>
        <w:pStyle w:val="Normal"/>
        <w:tabs>
          <w:tab w:val="clear" w:pos="720"/>
          <w:tab w:val="left" w:pos="-270" w:leader="none"/>
        </w:tabs>
        <w:ind w:start="720" w:end="0"/>
        <w:jc w:val="both"/>
        <w:rPr/>
      </w:pPr>
      <w:r>
        <w:rPr/>
        <w:t xml:space="preserve">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w:t>
      </w:r>
    </w:p>
    <w:p>
      <w:pPr>
        <w:pStyle w:val="Normal"/>
        <w:tabs>
          <w:tab w:val="clear" w:pos="720"/>
          <w:tab w:val="left" w:pos="-270" w:leader="none"/>
        </w:tabs>
        <w:ind w:start="720" w:end="0"/>
        <w:jc w:val="both"/>
        <w:rPr/>
      </w:pPr>
      <w:r>
        <w:rPr/>
      </w:r>
    </w:p>
    <w:p>
      <w:pPr>
        <w:pStyle w:val="Normal"/>
        <w:ind w:hanging="720" w:start="720" w:end="0"/>
        <w:jc w:val="both"/>
        <w:rPr/>
      </w:pPr>
      <w:r>
        <w:rPr/>
        <w:tab/>
        <w:t>On April 11</w:t>
      </w:r>
      <w:r>
        <w:rPr>
          <w:vertAlign w:val="superscript"/>
        </w:rPr>
        <w:t>th</w:t>
      </w:r>
      <w:r>
        <w:rPr/>
        <w:t xml:space="preserve"> a bill was signed into law which instituted a frozen rate 6.5 cents per kWh on the energy component of the electric bills of large commercial and industrial customers in SDG&amp;E’s service territory.  The rate cap is retroactive until February 7, 2001.  The bill also gives the Commission the authority to reassess the cap and determine whether an increase of the cap is warranted.  On May 14</w:t>
      </w:r>
      <w:r>
        <w:rPr>
          <w:vertAlign w:val="superscript"/>
        </w:rPr>
        <w:t>th</w:t>
      </w:r>
      <w:r>
        <w:rPr/>
        <w:t xml:space="preserve">, the Commission issued a decision implementing the portion of the bill establishing the frozen rate of 6.5 cents. </w:t>
      </w:r>
    </w:p>
    <w:p>
      <w:pPr>
        <w:pStyle w:val="Normal"/>
        <w:tabs>
          <w:tab w:val="clear" w:pos="720"/>
          <w:tab w:val="left" w:pos="-270" w:leader="none"/>
        </w:tabs>
        <w:ind w:start="720" w:end="0"/>
        <w:jc w:val="both"/>
        <w:rPr/>
      </w:pPr>
      <w:r>
        <w:rPr/>
      </w:r>
    </w:p>
    <w:p>
      <w:pPr>
        <w:pStyle w:val="Normal"/>
        <w:ind w:hanging="720" w:start="720" w:end="0"/>
        <w:jc w:val="both"/>
        <w:rPr/>
      </w:pPr>
      <w:r>
        <w:rPr/>
        <w:tab/>
        <w:t>On April 30</w:t>
      </w:r>
      <w:r>
        <w:rPr>
          <w:vertAlign w:val="superscript"/>
        </w:rPr>
        <w:t>th</w:t>
      </w:r>
      <w:r>
        <w:rPr/>
        <w:t>, an Assigned Commissioner’s Ruling was issued to set up a procedural vehicle for addressing potential adjustments to the 6.5 cent frozen rate and rate design for such potential adjusted rates. Hearings were held in the end of May, and briefing was completed by mid June. No proposed decision has been issued and the proceeding has been put on hiatus given SDG&amp;E’s filing of its Memorandum of Understanding with DWR.</w:t>
      </w:r>
    </w:p>
    <w:p>
      <w:pPr>
        <w:pStyle w:val="Normal"/>
        <w:ind w:hanging="720" w:start="720" w:end="0"/>
        <w:jc w:val="both"/>
        <w:rPr/>
      </w:pPr>
      <w:r>
        <w:rPr/>
        <w:t xml:space="preserve"> </w:t>
      </w:r>
      <w:r>
        <w:rPr/>
        <w:tab/>
      </w:r>
    </w:p>
    <w:p>
      <w:pPr>
        <w:pStyle w:val="Normal"/>
        <w:ind w:hanging="720" w:start="720" w:end="0"/>
        <w:jc w:val="both"/>
        <w:rPr/>
      </w:pPr>
      <w:r>
        <w:rPr/>
        <w:tab/>
        <w:t>On July 16</w:t>
      </w:r>
      <w:r>
        <w:rPr>
          <w:vertAlign w:val="superscript"/>
        </w:rPr>
        <w:t>th</w:t>
      </w:r>
      <w:r>
        <w:rPr/>
        <w:t>, SDG&amp;E filed a Motion for Implementation of its Memorandum of Understanding with DWR.  The Motion requests that the Commission either take certain actions or establish proceedings to address certain actions which are necessary for the MOU to go into effect.  The driving goal of the MOU is to eradicate the under-collection which has been building up in Energy Rate Ceiling Revenue Shortfall Account since the implementation of the 6.5 cent rate ceiling for customers below 100 kW. Comments on the motion were due July 27</w:t>
      </w:r>
      <w:r>
        <w:rPr>
          <w:vertAlign w:val="superscript"/>
        </w:rPr>
        <w:t>th</w:t>
      </w:r>
      <w:r>
        <w:rPr/>
        <w:t xml:space="preserve">.   </w:t>
      </w:r>
    </w:p>
    <w:p>
      <w:pPr>
        <w:pStyle w:val="Normal"/>
        <w:ind w:hanging="720" w:start="720" w:end="0"/>
        <w:jc w:val="both"/>
        <w:rPr/>
      </w:pPr>
      <w:r>
        <w:rPr/>
      </w:r>
    </w:p>
    <w:p>
      <w:pPr>
        <w:pStyle w:val="Normal"/>
        <w:jc w:val="both"/>
        <w:rPr>
          <w:b/>
        </w:rPr>
      </w:pPr>
      <w:r>
        <w:rPr>
          <w:b/>
        </w:rPr>
        <w:t>3.</w:t>
        <w:tab/>
        <w:t>Rulemaking on Revision of Baseline Allowances</w:t>
      </w:r>
    </w:p>
    <w:p>
      <w:pPr>
        <w:pStyle w:val="Normal"/>
        <w:jc w:val="both"/>
        <w:rPr>
          <w:b/>
        </w:rPr>
      </w:pPr>
      <w:r>
        <w:rPr>
          <w:b/>
        </w:rPr>
      </w:r>
    </w:p>
    <w:p>
      <w:pPr>
        <w:pStyle w:val="Normal"/>
        <w:tabs>
          <w:tab w:val="clear" w:pos="720"/>
          <w:tab w:val="left" w:pos="-270" w:leader="none"/>
        </w:tabs>
        <w:ind w:start="720" w:end="0"/>
        <w:jc w:val="both"/>
        <w:rPr/>
      </w:pPr>
      <w:r>
        <w:rPr/>
        <w:t xml:space="preserve">On May 29, 2001, the Commission issued an Order Instituting Rulemaking to determine whether baseline allowances for residential usage of gas and electricity should be revised.  The OIR is prompted by the fact that the new residential rate design that goes into effect on June 1, 2001 is premised on baseline usage. A June 11, 2001, Assigned Commissioner’s Ruling indicated the Commission’s intent to bifurcate the proceeding, with Phase I addressing the relatively narrow issues of updating the energy usage data used by the Commission in calculating baseline quantities and the appropriate percentage of energy usage to use in calculating such quantities.     </w:t>
      </w:r>
    </w:p>
    <w:p>
      <w:pPr>
        <w:pStyle w:val="Normal"/>
        <w:tabs>
          <w:tab w:val="clear" w:pos="720"/>
          <w:tab w:val="left" w:pos="-270" w:leader="none"/>
        </w:tabs>
        <w:ind w:start="720" w:end="0"/>
        <w:jc w:val="both"/>
        <w:rPr/>
      </w:pPr>
      <w:r>
        <w:rPr/>
      </w:r>
    </w:p>
    <w:p>
      <w:pPr>
        <w:pStyle w:val="Normal"/>
        <w:tabs>
          <w:tab w:val="clear" w:pos="720"/>
          <w:tab w:val="left" w:pos="-270" w:leader="none"/>
        </w:tabs>
        <w:ind w:hanging="630" w:start="720" w:end="0"/>
        <w:jc w:val="both"/>
        <w:rPr/>
      </w:pPr>
      <w:r>
        <w:rPr/>
        <w:tab/>
        <w:t xml:space="preserve">A prehearing conference was held on June 21, 2001.  The discussion focused on whether the Commission even had authority to change the baseline, or whether that authority rested with the legislature.  The Commission indicated its intent to proceed with its investigation; that the investigation would, at minimum, be used for making recommendations to the legislature for baseline changes. </w:t>
      </w:r>
    </w:p>
    <w:p>
      <w:pPr>
        <w:pStyle w:val="Normal"/>
        <w:tabs>
          <w:tab w:val="clear" w:pos="720"/>
          <w:tab w:val="left" w:pos="-270" w:leader="none"/>
        </w:tabs>
        <w:ind w:hanging="630" w:start="720" w:end="0"/>
        <w:jc w:val="both"/>
        <w:rPr/>
      </w:pPr>
      <w:r>
        <w:rPr/>
      </w:r>
    </w:p>
    <w:p>
      <w:pPr>
        <w:pStyle w:val="Normal"/>
        <w:tabs>
          <w:tab w:val="clear" w:pos="720"/>
          <w:tab w:val="left" w:pos="-270" w:leader="none"/>
        </w:tabs>
        <w:ind w:hanging="630" w:start="720" w:end="0"/>
        <w:jc w:val="both"/>
        <w:rPr/>
      </w:pPr>
      <w:r>
        <w:rPr/>
        <w:tab/>
        <w:t>On July 6</w:t>
      </w:r>
      <w:r>
        <w:rPr>
          <w:vertAlign w:val="superscript"/>
        </w:rPr>
        <w:t>th</w:t>
      </w:r>
      <w:r>
        <w:rPr/>
        <w:t xml:space="preserve"> a Scoping Memo was issued establishing a schedule which calls for opening testimony by the utilities on August 3</w:t>
      </w:r>
      <w:r>
        <w:rPr>
          <w:vertAlign w:val="superscript"/>
        </w:rPr>
        <w:t>rd</w:t>
      </w:r>
      <w:r>
        <w:rPr/>
        <w:t>, intervenor testimony on August 17</w:t>
      </w:r>
      <w:r>
        <w:rPr>
          <w:vertAlign w:val="superscript"/>
        </w:rPr>
        <w:t>th</w:t>
      </w:r>
      <w:r>
        <w:rPr/>
        <w:t>, rebuttal testimony on August 24</w:t>
      </w:r>
      <w:r>
        <w:rPr>
          <w:vertAlign w:val="superscript"/>
        </w:rPr>
        <w:t>th</w:t>
      </w:r>
      <w:r>
        <w:rPr/>
        <w:t xml:space="preserve"> and hearings September 4th-7th.  In the Scoping Memo, the Assigned Commissioner clarified that the issue of cost allocation (i.e., if there is a change in baseline) would not be addressed in this Phase of the proceeding.   </w:t>
      </w:r>
    </w:p>
    <w:p>
      <w:pPr>
        <w:pStyle w:val="Normal"/>
        <w:tabs>
          <w:tab w:val="clear" w:pos="720"/>
          <w:tab w:val="left" w:pos="-270" w:leader="none"/>
        </w:tabs>
        <w:ind w:hanging="630" w:start="720" w:end="0"/>
        <w:jc w:val="both"/>
        <w:rPr/>
      </w:pPr>
      <w:r>
        <w:rPr/>
      </w:r>
    </w:p>
    <w:p>
      <w:pPr>
        <w:pStyle w:val="Normal"/>
        <w:jc w:val="both"/>
        <w:rPr>
          <w:b/>
        </w:rPr>
      </w:pPr>
      <w:r>
        <w:rPr>
          <w:b/>
        </w:rPr>
        <w:t>4.</w:t>
        <w:tab/>
        <w:t>Proceeding re Payments to Qualifying Facilities</w:t>
      </w:r>
    </w:p>
    <w:p>
      <w:pPr>
        <w:pStyle w:val="Normal"/>
        <w:jc w:val="both"/>
        <w:rPr>
          <w:b/>
        </w:rPr>
      </w:pPr>
      <w:r>
        <w:rPr>
          <w:b/>
        </w:rPr>
        <w:tab/>
      </w:r>
    </w:p>
    <w:p>
      <w:pPr>
        <w:pStyle w:val="Normal"/>
        <w:ind w:start="720" w:end="0"/>
        <w:jc w:val="both"/>
        <w:rPr/>
      </w:pPr>
      <w:r>
        <w:rPr/>
        <w:t xml:space="preserve">In a decision issued at its March 27, 2001 meeting, the Commission took two substantive actions with respect to the payment of Qualifying Facilities by the UDCs for energy purchases.  First, the Commission directed the UDCs to make payments to QFs for energy deliveries made on and after the effective date of the order, within 15 days after the end of the billing period.  In this regard, the order allows for QFs to request a twice-monthly billing period.  Second, the Commission changed the Transition Pricing Formula by which QFs are paid by changing the gas price index used therein from Topock to Malin.  The applications for rehearing of this decisions are on the Commission’s August 23, 2001 Executive Session Agenda.  It is anticipated that if the decision is upheld, then the Independent Energy Producers will appeal it.  </w:t>
      </w:r>
    </w:p>
    <w:p>
      <w:pPr>
        <w:pStyle w:val="Normal"/>
        <w:ind w:start="720" w:end="0"/>
        <w:jc w:val="both"/>
        <w:rPr/>
      </w:pPr>
      <w:r>
        <w:rPr/>
      </w:r>
    </w:p>
    <w:p>
      <w:pPr>
        <w:pStyle w:val="Normal"/>
        <w:ind w:hanging="720" w:start="720" w:end="0"/>
        <w:jc w:val="both"/>
        <w:rPr/>
      </w:pPr>
      <w:r>
        <w:rPr/>
        <w:t>*</w:t>
        <w:tab/>
        <w:t>On June 1, 2001, Commissioner Lynch issued a draft decision which pre-approved three voluntary QF contract amendments which the UDCs could undertake to effect with their QFs. The draft decision also directed the UDCs to pay 15% of all amounts owed to any QF that could demonstrate an immediate need for such funds to continue or reestablish safe and reliable operation. The Commission voted out this order at a continuation meeting held June 13</w:t>
      </w:r>
      <w:r>
        <w:rPr>
          <w:vertAlign w:val="superscript"/>
        </w:rPr>
        <w:t>th</w:t>
      </w:r>
      <w:r>
        <w:rPr/>
        <w:t>.    Subsequently, on July 26</w:t>
      </w:r>
      <w:r>
        <w:rPr>
          <w:vertAlign w:val="superscript"/>
        </w:rPr>
        <w:t>th</w:t>
      </w:r>
      <w:r>
        <w:rPr/>
        <w:t>, a draft decision was issued by Commissioner Lynch which approved as reasonable contract amendments proposed by SCE which would allow SCE to pay QFs up to 200% of the SRAC price during certain hours as an incentive to produce as much power as possible when that power is necessary.  The proposed decision would allow SCE to recover the cost it incurred under such contract amendments (subject to Commission review regarding the utility’s future administration of those contracts).  The proposed decision has been on the Commission’s meeting agenda twice and held twice.</w:t>
      </w:r>
    </w:p>
    <w:p>
      <w:pPr>
        <w:pStyle w:val="Normal"/>
        <w:ind w:hanging="720" w:start="720" w:end="0"/>
        <w:jc w:val="both"/>
        <w:rPr/>
      </w:pPr>
      <w:r>
        <w:rPr/>
      </w:r>
    </w:p>
    <w:p>
      <w:pPr>
        <w:pStyle w:val="Normal"/>
        <w:ind w:hanging="720" w:start="720" w:end="0"/>
        <w:jc w:val="both"/>
        <w:rPr>
          <w:b/>
        </w:rPr>
      </w:pPr>
      <w:r>
        <w:rPr>
          <w:b/>
        </w:rPr>
        <w:t>5.</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The ALJ severed the SCE counterclaim from the remainder of the proceeding, placing it on a separate track.  We filed a motion to dismiss the counterclaim on March 19</w:t>
      </w:r>
      <w:r>
        <w:rPr>
          <w:vertAlign w:val="superscript"/>
        </w:rPr>
        <w:t>th</w:t>
      </w:r>
      <w:r>
        <w:rPr/>
        <w:t>, SCE filed its response on April 2</w:t>
      </w:r>
      <w:r>
        <w:rPr>
          <w:vertAlign w:val="superscript"/>
        </w:rPr>
        <w:t>nd</w:t>
      </w:r>
      <w:r>
        <w:rPr/>
        <w:t>. The motion was scheduled for Oral Argument of April 19, 2001.  In the interim, however, Enron reached agreement with SCE to defer the proceeding for a minimum of sixty days (SCE wanted the time to attempt to get various provisions of their memorandum of understanding with the governor approved which might make a majority of our claim go away).   That agreement was due to expire on June 15</w:t>
      </w:r>
      <w:r>
        <w:rPr>
          <w:vertAlign w:val="superscript"/>
        </w:rPr>
        <w:t>th</w:t>
      </w:r>
      <w:r>
        <w:rPr/>
        <w:t>.  A subsequent stipulation has been entered into buying an additional 45 days.</w:t>
      </w:r>
    </w:p>
    <w:p>
      <w:pPr>
        <w:pStyle w:val="Normal"/>
        <w:ind w:hanging="720" w:start="720" w:end="0"/>
        <w:jc w:val="both"/>
        <w:rPr/>
      </w:pPr>
      <w:r>
        <w:rPr/>
      </w:r>
    </w:p>
    <w:p>
      <w:pPr>
        <w:pStyle w:val="Normal"/>
        <w:ind w:hanging="720" w:start="720" w:end="0"/>
        <w:jc w:val="both"/>
        <w:rPr/>
      </w:pPr>
      <w:r>
        <w:rPr/>
        <w:tab/>
        <w:t xml:space="preserve">With PG&amp;E’s bankruptcy filing on April 6, 2001, the complaint proceeding against PG&amp;E was stayed in accordance with the terms of the bankruptcy code.     </w:t>
        <w:tab/>
      </w:r>
    </w:p>
    <w:p>
      <w:pPr>
        <w:pStyle w:val="Normal"/>
        <w:ind w:hanging="720" w:start="720" w:end="0"/>
        <w:jc w:val="both"/>
        <w:rPr/>
      </w:pPr>
      <w:r>
        <w:rPr/>
      </w:r>
    </w:p>
    <w:p>
      <w:pPr>
        <w:pStyle w:val="Normal"/>
        <w:ind w:hanging="720" w:start="720" w:end="0"/>
        <w:jc w:val="both"/>
        <w:rPr/>
      </w:pPr>
      <w:r>
        <w:rPr/>
        <w:tab/>
      </w:r>
    </w:p>
    <w:p>
      <w:pPr>
        <w:pStyle w:val="Normal"/>
        <w:ind w:hanging="720" w:start="720" w:end="0"/>
        <w:jc w:val="both"/>
        <w:rPr/>
      </w:pPr>
      <w:r>
        <w:rPr>
          <w:b/>
        </w:rPr>
        <w:t>6.</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b/>
        </w:rPr>
      </w:pPr>
      <w:r>
        <w:rPr>
          <w:b/>
        </w:rPr>
      </w:r>
    </w:p>
    <w:p>
      <w:pPr>
        <w:pStyle w:val="Normal"/>
        <w:ind w:hanging="720" w:start="720" w:end="0"/>
        <w:jc w:val="both"/>
        <w:rPr/>
      </w:pPr>
      <w:r>
        <w:rPr>
          <w:b/>
        </w:rPr>
        <w:tab/>
      </w:r>
      <w:r>
        <w:rPr/>
        <w:t>On June 15, 2001 a draft decision was issued by ALJ Barnett on SCE’s petition. The draft decision granted the petition, also making the finding that the Stipulation that eradicated the direct access minimum bill did not require the payment of the PX credit in cash.  In addition, the draft decision, acting on the authority given the Commission in ABX1-1, suspended new direct access transactions as of July 1, 2001. An alternate draft decision was issued by Commissioner Bilas on the same day. While the alternate draft decision also granted SCE’s petition, it did not suspend direct access.  Rather, it solicited comments on how direct access could be maintained while also addressing the concerns of DWR with respect to the impact of direct access on the issuance of the bonds (i.e., without sufficient security of the revenue stream, the bonds could not be issued).</w:t>
      </w:r>
    </w:p>
    <w:p>
      <w:pPr>
        <w:pStyle w:val="Normal"/>
        <w:ind w:hanging="720" w:start="720" w:end="0"/>
        <w:jc w:val="both"/>
        <w:rPr/>
      </w:pPr>
      <w:r>
        <w:rPr/>
      </w:r>
    </w:p>
    <w:p>
      <w:pPr>
        <w:pStyle w:val="Normal"/>
        <w:ind w:hanging="720" w:start="720" w:end="0"/>
        <w:jc w:val="both"/>
        <w:rPr/>
      </w:pPr>
      <w:r>
        <w:rPr/>
        <w:tab/>
        <w:t>Comments on the draft and alternate decisions were filed on Monday, June 25</w:t>
      </w:r>
      <w:r>
        <w:rPr>
          <w:vertAlign w:val="superscript"/>
        </w:rPr>
        <w:t>th</w:t>
      </w:r>
      <w:r>
        <w:rPr/>
        <w:t>, with reply comments due on the 27</w:t>
      </w:r>
      <w:r>
        <w:rPr>
          <w:vertAlign w:val="superscript"/>
        </w:rPr>
        <w:t>th</w:t>
      </w:r>
      <w:r>
        <w:rPr/>
        <w:t>.  The Commission was due to vote on the matter at their meeting of June 28</w:t>
      </w:r>
      <w:r>
        <w:rPr>
          <w:vertAlign w:val="superscript"/>
        </w:rPr>
        <w:t>th</w:t>
      </w:r>
      <w:r>
        <w:rPr/>
        <w:t>, but held the matter to a continuation meeting scheduled for July 3</w:t>
      </w:r>
      <w:r>
        <w:rPr>
          <w:vertAlign w:val="superscript"/>
        </w:rPr>
        <w:t>rd</w:t>
      </w:r>
      <w:r>
        <w:rPr/>
        <w:t>. Prior to the meeting on the 28</w:t>
      </w:r>
      <w:r>
        <w:rPr>
          <w:vertAlign w:val="superscript"/>
        </w:rPr>
        <w:t>th</w:t>
      </w:r>
      <w:r>
        <w:rPr/>
        <w:t>, Commissioner Bilas issued a revised alternate draft decision that did not substantively address SCE’s petition, but held it in abeyance to be addressed in another order.  In addition, the revised alternate established a proceeding for dealing with the potential suspension of direct access.  A revised draft decision was not released by ALJ Barnett at that time.  The decisions were held at the request of DWR.</w:t>
      </w:r>
    </w:p>
    <w:p>
      <w:pPr>
        <w:pStyle w:val="Normal"/>
        <w:ind w:start="720" w:end="0"/>
        <w:jc w:val="both"/>
        <w:rPr/>
      </w:pPr>
      <w:r>
        <w:rPr/>
      </w:r>
    </w:p>
    <w:p>
      <w:pPr>
        <w:pStyle w:val="Normal"/>
        <w:ind w:hanging="720" w:start="720" w:end="0"/>
        <w:jc w:val="both"/>
        <w:rPr/>
      </w:pPr>
      <w:r>
        <w:rPr/>
        <w:t>*</w:t>
        <w:tab/>
        <w:t>On August 15, 2001, ALJ Barnett issued a revised proposed decision which did not substantively address SCE’s petition, but which suspended direct access as of September 1, 2001.  The Commission was due to vote on the decisions at its August 23</w:t>
      </w:r>
      <w:r>
        <w:rPr>
          <w:vertAlign w:val="superscript"/>
        </w:rPr>
        <w:t>rd</w:t>
      </w:r>
      <w:r>
        <w:rPr/>
        <w:t xml:space="preserve"> meeting, but the decisions have now been held for action at the September 6</w:t>
      </w:r>
      <w:r>
        <w:rPr>
          <w:vertAlign w:val="superscript"/>
        </w:rPr>
        <w:t>th</w:t>
      </w:r>
      <w:r>
        <w:rPr/>
        <w:t xml:space="preserve"> meeting.    </w:t>
      </w:r>
    </w:p>
    <w:p>
      <w:pPr>
        <w:pStyle w:val="Normal"/>
        <w:ind w:hanging="720" w:start="720" w:end="0"/>
        <w:jc w:val="both"/>
        <w:rPr/>
      </w:pPr>
      <w:r>
        <w:rPr/>
        <w:t xml:space="preserve"> </w:t>
      </w:r>
    </w:p>
    <w:p>
      <w:pPr>
        <w:pStyle w:val="Normal"/>
        <w:ind w:hanging="720" w:start="720" w:end="0"/>
        <w:jc w:val="both"/>
        <w:rPr/>
      </w:pPr>
      <w:r>
        <w:rPr/>
      </w:r>
    </w:p>
    <w:p>
      <w:pPr>
        <w:pStyle w:val="Normal"/>
        <w:ind w:hanging="720" w:start="720" w:end="0"/>
        <w:jc w:val="both"/>
        <w:rPr/>
      </w:pPr>
      <w:r>
        <w:rPr/>
        <w:t>*</w:t>
        <w:tab/>
        <w:t>On July 10</w:t>
      </w:r>
      <w:r>
        <w:rPr>
          <w:vertAlign w:val="superscript"/>
        </w:rPr>
        <w:t>th</w:t>
      </w:r>
      <w:r>
        <w:rPr/>
        <w:t>, all three UDCs filed a Joint Petition of Decision 99-06-058 to eliminate after December 2000 the requirement that the PX credit be audited to ensure correct inputs.  On July 23, 2001, an ALJ Ruling was issued which granted the relief requested on a temporary basis pending final resolution of the Petition. Responses to the Petition were filed on August 3</w:t>
      </w:r>
      <w:r>
        <w:rPr>
          <w:vertAlign w:val="superscript"/>
        </w:rPr>
        <w:t xml:space="preserve">rd </w:t>
      </w:r>
      <w:r>
        <w:rPr/>
        <w:t>. The UDCs were granted leave to reply to the responses, which they did so on August 15</w:t>
      </w:r>
      <w:r>
        <w:rPr>
          <w:vertAlign w:val="superscript"/>
        </w:rPr>
        <w:t>th</w:t>
      </w:r>
      <w:r>
        <w:rPr/>
        <w:t xml:space="preserve">.    </w:t>
      </w:r>
    </w:p>
    <w:p>
      <w:pPr>
        <w:pStyle w:val="Normal"/>
        <w:ind w:hanging="720" w:start="720" w:end="0"/>
        <w:jc w:val="both"/>
        <w:rPr/>
      </w:pPr>
      <w:r>
        <w:rPr/>
        <w:t xml:space="preserve">      </w:t>
      </w:r>
    </w:p>
    <w:p>
      <w:pPr>
        <w:pStyle w:val="Normal"/>
        <w:ind w:hanging="720" w:start="720" w:end="0"/>
        <w:jc w:val="both"/>
        <w:rPr/>
      </w:pPr>
      <w:r>
        <w:rPr/>
        <w:t xml:space="preserve">    </w:t>
      </w:r>
      <w:r>
        <w:rPr>
          <w:b/>
        </w:rPr>
        <w:t>7.</w:t>
        <w:tab/>
        <w:t>Advice Letter Filings on “PX Credit”</w:t>
      </w:r>
    </w:p>
    <w:p>
      <w:pPr>
        <w:pStyle w:val="Normal"/>
        <w:ind w:hanging="720" w:start="720" w:end="0"/>
        <w:jc w:val="both"/>
        <w:rPr>
          <w:b/>
        </w:rPr>
      </w:pPr>
      <w:r>
        <w:rPr>
          <w:b/>
        </w:rPr>
      </w:r>
    </w:p>
    <w:p>
      <w:pPr>
        <w:pStyle w:val="Normal"/>
        <w:ind w:hanging="720" w:start="720" w:end="0"/>
        <w:jc w:val="both"/>
        <w:rPr/>
      </w:pPr>
      <w:r>
        <w:rPr>
          <w:b/>
        </w:rPr>
        <w:tab/>
      </w:r>
      <w:r>
        <w:rPr/>
        <w:t xml:space="preserve">Both SCE and PG&amp;E filed advice letters to replace their Schedule PX with alternate schedules (“Purchased Energy” for SCE and “Electric Generation” for PG&amp;E).  Enron protested both advice filings with respect to their impact on the credit afforded direct access customers.  The gist of Enron’s protest was that some form of market based credit should remain in place until the Commission has had an opportunity to address the matter in a full hearing involving both SCE and PG&amp;E.     </w:t>
      </w:r>
      <w:r>
        <w:rPr>
          <w:b/>
        </w:rPr>
        <w:t xml:space="preserve"> </w:t>
      </w:r>
    </w:p>
    <w:p>
      <w:pPr>
        <w:pStyle w:val="Normal"/>
        <w:ind w:hanging="720" w:start="720" w:end="0"/>
        <w:jc w:val="both"/>
        <w:rPr>
          <w:b/>
        </w:rPr>
      </w:pPr>
      <w:r>
        <w:rPr>
          <w:b/>
        </w:rPr>
      </w:r>
    </w:p>
    <w:p>
      <w:pPr>
        <w:pStyle w:val="Normal"/>
        <w:ind w:hanging="720" w:start="720" w:end="0"/>
        <w:jc w:val="both"/>
        <w:rPr/>
      </w:pPr>
      <w:r>
        <w:rPr/>
        <w:t>*</w:t>
        <w:tab/>
        <w:t>On August 10, 2001, SCE filed a Motion requesting resolution of several direct access credit issues.  Specifically, SCE is seeking determination of how the direct access credit should be calculated from the date SCE ended participation in the Power Exchange’s day ahead and day of markets and how the credits should be calculated on a going forward basis.  Pursuant to Commission Rules, answers to the Motion are due on August 27</w:t>
      </w:r>
      <w:r>
        <w:rPr>
          <w:vertAlign w:val="superscript"/>
        </w:rPr>
        <w:t>th</w:t>
      </w:r>
      <w:r>
        <w:rPr/>
        <w:t xml:space="preserve">.  There is no indication that the Commission will take any action on the motion.     </w:t>
        <w:tab/>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 xml:space="preserve">  </w:t>
      </w:r>
      <w:r>
        <w:rPr>
          <w:rStyle w:val="zzmpTrailerItem"/>
        </w:rPr>
        <w:t>2704/009/X20615-1</w:t>
      </w:r>
      <w:r>
        <w:rPr/>
        <w:t xml:space="preserve"> </w:t>
      </w:r>
    </w:p>
    <w:sectPr>
      <w:headerReference w:type="default" r:id="rId2"/>
      <w:footerReference w:type="default" r:id="rId3"/>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2001-08-23T17:29:00Z</dcterms:created>
  <dc:creator>JMB</dc:creator>
  <dc:description/>
  <dc:language>en-CA</dc:language>
  <cp:lastModifiedBy>JMB</cp:lastModifiedBy>
  <cp:lastPrinted>2001-02-02T17:13:00Z</cp:lastPrinted>
  <dcterms:modified xsi:type="dcterms:W3CDTF">2001-08-23T17:29:00Z</dcterms:modified>
  <cp:revision>2</cp:revision>
  <dc:subject/>
  <dc:title/>
</cp:coreProperties>
</file>