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3/29/01)</w:t>
      </w:r>
    </w:p>
    <w:p>
      <w:pPr>
        <w:pStyle w:val="Normal"/>
        <w:jc w:val="center"/>
        <w:rPr>
          <w:b/>
        </w:rPr>
      </w:pPr>
      <w:r>
        <w:rPr>
          <w:b/>
        </w:rPr>
        <w:t>(* indicates a change to the item/paragraph or a new item)</w:t>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pPr>
      <w:r>
        <w:rPr/>
        <w:t>*</w:t>
        <w:tab/>
        <w:t>On March 27</w:t>
      </w:r>
      <w:r>
        <w:rPr>
          <w:vertAlign w:val="superscript"/>
        </w:rPr>
        <w:t>th</w:t>
      </w:r>
      <w:r>
        <w:rPr/>
        <w:t>, a decision was issued in the Rate Stabilization proceeding which (1) adopted the TURN accounting proposal and thereby retains the current AB 1890 rate freeze construct, and (2) adopted a three cent per kWh rate increase (while also making the one cent increase adopted in January permanent).  The rate increase will not hit customers’ bills immediately.  Rather there will be a thirty to forty-five day lag while the Commission determines the appropriate rate design.</w:t>
      </w:r>
      <w:r>
        <w:rPr>
          <w:rStyle w:val="FootnoteCharacters"/>
          <w:rStyle w:val="FootnoteReference"/>
        </w:rPr>
        <w:footnoteReference w:id="2"/>
      </w:r>
      <w:r>
        <w:rPr/>
        <w:t xml:space="preserve"> To this end, an Assigned Commissioner’s Ruling was issued.   The ACR stressed that heavy users of energy would be hit the hardest for that increment of power over a certain threshold. A prehearing conference is to be held on the matter on April 2, 2001. </w:t>
      </w:r>
    </w:p>
    <w:p>
      <w:pPr>
        <w:pStyle w:val="Normal"/>
        <w:ind w:hanging="810" w:start="720" w:end="0"/>
        <w:jc w:val="both"/>
        <w:rPr/>
      </w:pPr>
      <w:r>
        <w:rPr/>
      </w:r>
    </w:p>
    <w:p>
      <w:pPr>
        <w:pStyle w:val="Normal"/>
        <w:ind w:hanging="720" w:start="720" w:end="0"/>
        <w:jc w:val="both"/>
        <w:rPr/>
      </w:pPr>
      <w:r>
        <w:rPr/>
        <w:t>*</w:t>
        <w:tab/>
        <w:t>This proceeding has also been made the forum for Commission implementation of AB 1X. The UDCs will made formal filings of the their respective California Procurement Adjustment (“CPA”) calculations on February 23, 2001.  Comments on those submissions were due on March 7, 2001.  A proposed decision was scheduled to be issued on March 14</w:t>
      </w:r>
      <w:r>
        <w:rPr>
          <w:vertAlign w:val="superscript"/>
        </w:rPr>
        <w:t>th</w:t>
      </w:r>
      <w:r>
        <w:rPr/>
        <w:t>, but was not.  The reason for the delay was made evident this week when the Assigned ALJ released a letter from the California Department of Water Resources to the Commission which set forth DWR’s views on how the CPA is to be calculated.  Parties were given a day to comment on DWR’s letter.   On March 26, 2001 a proposed decision was issued.  Parties were given no opportunity to comment, and the decision was voted out at the March 27</w:t>
      </w:r>
      <w:r>
        <w:rPr>
          <w:vertAlign w:val="superscript"/>
        </w:rPr>
        <w:t>th</w:t>
      </w:r>
      <w:r>
        <w:rPr/>
        <w:t xml:space="preserve"> meeting.  The decision (1) provided that the UDCs must pay DWR for past energy purchases on behalf of their end use customers;</w:t>
      </w:r>
      <w:r>
        <w:rPr>
          <w:rStyle w:val="FootnoteCharacters"/>
          <w:rStyle w:val="FootnoteReference"/>
        </w:rPr>
        <w:footnoteReference w:id="3"/>
      </w:r>
      <w:r>
        <w:rPr/>
        <w:t xml:space="preserve"> (2) established a mechanism for going forward payments from the UDCs to DWR for energy purchases made on behalf of their end use customer; (3) established the CPA as a rate; and (4) established a mechanism for calculating the CPA rate.  The  last two items were set forth as proposals, with parties being provided and opportunity to comment.   The Commission will vote on any necessary changes to the CPA mechanism (based on the comments received) at its continuation meeting on April 3</w:t>
      </w:r>
      <w:r>
        <w:rPr>
          <w:vertAlign w:val="superscript"/>
        </w:rPr>
        <w:t>rd</w:t>
      </w:r>
      <w:r>
        <w:rPr/>
        <w:t xml:space="preserve">.         </w:t>
      </w:r>
    </w:p>
    <w:p>
      <w:pPr>
        <w:pStyle w:val="Normal"/>
        <w:ind w:hanging="720" w:start="720" w:end="0"/>
        <w:jc w:val="both"/>
        <w:rPr/>
      </w:pPr>
      <w:r>
        <w:rPr/>
      </w:r>
    </w:p>
    <w:p>
      <w:pPr>
        <w:pStyle w:val="Normal"/>
        <w:ind w:hanging="720" w:start="720" w:end="0"/>
        <w:jc w:val="both"/>
        <w:rPr/>
      </w:pPr>
      <w:r>
        <w:rPr/>
        <w:t>*</w:t>
        <w:tab/>
        <w:t xml:space="preserve">In an Assigned Commissioner’s Ruling issued on March 29, 2001, PG&amp;E and DCE were direct to file and serve responses to a series of document and data requests pertaining to the relationship between the UDC and the holding company.   </w:t>
      </w:r>
    </w:p>
    <w:p>
      <w:pPr>
        <w:pStyle w:val="Normal"/>
        <w:ind w:hanging="720" w:start="720" w:end="0"/>
        <w:jc w:val="both"/>
        <w:rPr>
          <w:b/>
        </w:rPr>
      </w:pPr>
      <w:r>
        <w:rPr>
          <w:b/>
        </w:rPr>
      </w:r>
    </w:p>
    <w:p>
      <w:pPr>
        <w:pStyle w:val="Normal"/>
        <w:ind w:hanging="720" w:start="720" w:end="0"/>
        <w:jc w:val="both"/>
        <w:rPr>
          <w:b/>
        </w:rPr>
      </w:pPr>
      <w:r>
        <w:rPr>
          <w:b/>
        </w:rPr>
      </w:r>
    </w:p>
    <w:p>
      <w:pPr>
        <w:pStyle w:val="Normal"/>
        <w:ind w:hanging="720" w:start="720" w:end="0"/>
        <w:jc w:val="both"/>
        <w:rPr>
          <w:b/>
        </w:rPr>
      </w:pPr>
      <w:r>
        <w:rPr>
          <w:b/>
        </w:rPr>
        <w:t>2.</w:t>
        <w:tab/>
        <w:t>PG&amp;E Application on Gas Supply Emergency (A. 01-01-024)</w:t>
      </w:r>
    </w:p>
    <w:p>
      <w:pPr>
        <w:pStyle w:val="Normal"/>
        <w:ind w:hanging="720" w:start="720" w:end="0"/>
        <w:jc w:val="both"/>
        <w:rPr>
          <w:b/>
        </w:rPr>
      </w:pPr>
      <w:r>
        <w:rPr>
          <w:b/>
        </w:rPr>
        <w:tab/>
      </w:r>
    </w:p>
    <w:p>
      <w:pPr>
        <w:pStyle w:val="Normal"/>
        <w:ind w:hanging="720" w:start="720" w:end="0"/>
        <w:jc w:val="both"/>
        <w:rPr/>
      </w:pPr>
      <w:r>
        <w:rPr>
          <w:b/>
        </w:rPr>
        <w:tab/>
      </w:r>
      <w:r>
        <w:rPr/>
        <w:t>PG&amp;E filed an application seeking an immediate finding that there was a gas supply emergency and requesting that SoCalGas be directed to provide assistance by supplying gas to PG&amp;E’s core customers.  Enron did not weigh in on this.  A hearing was held on PG&amp;E’s core gas supply situation on February 16</w:t>
      </w:r>
      <w:r>
        <w:rPr>
          <w:vertAlign w:val="superscript"/>
        </w:rPr>
        <w:t>th</w:t>
      </w:r>
      <w:r>
        <w:rPr/>
        <w:t>.   At that hearing, PG&amp;E presented evidence as to what its current core gas supply situation was, and its anticipated need of calling on SoCalGas for assistance.  The matter was originally scheduled for the Commission’s February 22</w:t>
      </w:r>
      <w:r>
        <w:rPr>
          <w:vertAlign w:val="superscript"/>
        </w:rPr>
        <w:t>nd</w:t>
      </w:r>
      <w:r>
        <w:rPr/>
        <w:t xml:space="preserve"> meeting, but continues to be held.  </w:t>
      </w:r>
    </w:p>
    <w:p>
      <w:pPr>
        <w:pStyle w:val="Normal"/>
        <w:ind w:hanging="720" w:start="720" w:end="0"/>
        <w:jc w:val="both"/>
        <w:rPr/>
      </w:pPr>
      <w:r>
        <w:rPr/>
      </w:r>
    </w:p>
    <w:p>
      <w:pPr>
        <w:pStyle w:val="Normal"/>
        <w:ind w:hanging="720" w:start="720" w:end="0"/>
        <w:jc w:val="both"/>
        <w:rPr/>
      </w:pPr>
      <w:r>
        <w:rPr>
          <w:b/>
        </w:rPr>
        <w:t>3.</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pPr>
      <w:r>
        <w:rPr/>
      </w:r>
    </w:p>
    <w:p>
      <w:pPr>
        <w:pStyle w:val="Normal"/>
        <w:ind w:hanging="720" w:start="720" w:end="0"/>
        <w:jc w:val="both"/>
        <w:rPr>
          <w:b/>
        </w:rPr>
      </w:pPr>
      <w:r>
        <w:rPr>
          <w:b/>
        </w:rPr>
        <w:t>4.</w:t>
        <w:tab/>
        <w:t>Guidelines for Bilateral Power Purchase Contracts</w:t>
      </w:r>
    </w:p>
    <w:p>
      <w:pPr>
        <w:pStyle w:val="Normal"/>
        <w:ind w:hanging="720" w:start="720" w:end="0"/>
        <w:jc w:val="both"/>
        <w:rPr>
          <w:b/>
        </w:rPr>
      </w:pPr>
      <w:r>
        <w:rPr>
          <w:b/>
        </w:rPr>
      </w:r>
    </w:p>
    <w:p>
      <w:pPr>
        <w:pStyle w:val="Normal"/>
        <w:ind w:hanging="720" w:start="720" w:end="0"/>
        <w:jc w:val="both"/>
        <w:rPr/>
      </w:pPr>
      <w:r>
        <w:rPr>
          <w:b/>
        </w:rPr>
        <w:tab/>
        <w:t>T</w:t>
      </w:r>
      <w:r>
        <w:rPr/>
        <w:t xml:space="preserve">here are alternate forms of the decision that have been released.  The version by Cmmr. Lynch establishes procedures that if followed the contracts would be </w:t>
      </w:r>
      <w:r>
        <w:rPr>
          <w:i/>
        </w:rPr>
        <w:t>per se</w:t>
      </w:r>
      <w:r>
        <w:rPr/>
        <w:t xml:space="preserve"> reasonable.  Basically, the UDCs are to make periodic solicitations and the Commission will presume that the least expensive 30% of the power offered under the solicitation is </w:t>
      </w:r>
      <w:r>
        <w:rPr>
          <w:i/>
        </w:rPr>
        <w:t>per se</w:t>
      </w:r>
      <w:r>
        <w:rPr/>
        <w:t xml:space="preserve"> reasonable if the average contract price does not exceed a ceiling of 6 cents for contracts with terms up to three years and 5.5 cents for contracts with terms up to five years. The presumption of reasonableness lapses for contracts signed 180 days after the effective date of the order.  The other alternative order, released by ALJ Cooke, adopts a total generation cost benchmark of 6 cents/kWh for 2001.  Comments on these decisions were due February 6</w:t>
      </w:r>
      <w:r>
        <w:rPr>
          <w:vertAlign w:val="superscript"/>
        </w:rPr>
        <w:t>th</w:t>
      </w:r>
      <w:r>
        <w:rPr/>
        <w:t xml:space="preserve">.  The Commission has not acted on either decision.  </w:t>
      </w:r>
    </w:p>
    <w:p>
      <w:pPr>
        <w:pStyle w:val="Normal"/>
        <w:ind w:hanging="720" w:start="720" w:end="0"/>
        <w:jc w:val="both"/>
        <w:rPr/>
      </w:pPr>
      <w:r>
        <w:rPr/>
        <w:t xml:space="preserve">   </w:t>
      </w:r>
      <w:r>
        <w:rPr>
          <w:vertAlign w:val="superscript"/>
        </w:rPr>
        <w:t xml:space="preserve">    </w:t>
      </w:r>
    </w:p>
    <w:p>
      <w:pPr>
        <w:pStyle w:val="Normal"/>
        <w:ind w:hanging="720" w:start="720" w:end="0"/>
        <w:jc w:val="both"/>
        <w:rPr>
          <w:b/>
        </w:rPr>
      </w:pPr>
      <w:r>
        <w:rPr>
          <w:b/>
        </w:rPr>
        <w:t>5.</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ind w:start="720" w:end="0"/>
        <w:jc w:val="both"/>
        <w:rPr/>
      </w:pPr>
      <w:r>
        <w:rPr/>
        <w:t>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An all party meeting with Commissioner Duque was held on February 9</w:t>
      </w:r>
      <w:r>
        <w:rPr>
          <w:vertAlign w:val="superscript"/>
        </w:rPr>
        <w:t>th</w:t>
      </w:r>
      <w:r>
        <w:rPr/>
        <w:t>. A prehearing conference is scheduled on February 16th in San Diego As Enron is not attending the prehearing conference, it submitted a prehearing conference statement (as allowed by the ALJ) to keep itself in the mix in case it decides to become active.   On February 23, 2001, interested parties served briefs on the issue as to whether the Commission can implement a surcharge given the rate ceiling implemented by the legislature under AB 265.</w:t>
      </w:r>
    </w:p>
    <w:p>
      <w:pPr>
        <w:pStyle w:val="Normal"/>
        <w:ind w:start="720" w:end="0"/>
        <w:jc w:val="both"/>
        <w:rPr/>
      </w:pPr>
      <w:r>
        <w:rPr/>
      </w:r>
    </w:p>
    <w:p>
      <w:pPr>
        <w:pStyle w:val="Normal"/>
        <w:ind w:hanging="720" w:start="720" w:end="0"/>
        <w:jc w:val="both"/>
        <w:rPr/>
      </w:pPr>
      <w:r>
        <w:rPr/>
        <w:t>*</w:t>
        <w:tab/>
        <w:t>In an Assigned Commissioner’s ruling issued on March 29, 2001, a second prehearing conference was set to consider tiered rate design. The ruling referenced the ACR issued in the Rate Stabilization proceeding, stating that “ACR proposes a tiered rate design for all customer classes and sets forth principles that underlie the proposed rated design for SDG&amp;E as well as Edison and PG&amp;E.”  As SDG&amp;E has not been authorized to collect and additional 3 cents in its rates, it is unclear how any new rate design developed would apply to SDG&amp;E.</w:t>
      </w:r>
    </w:p>
    <w:p>
      <w:pPr>
        <w:pStyle w:val="Normal"/>
        <w:ind w:start="720" w:end="0"/>
        <w:jc w:val="both"/>
        <w:rPr/>
      </w:pPr>
      <w:r>
        <w:rPr/>
        <w:t xml:space="preserve"> </w:t>
      </w:r>
    </w:p>
    <w:p>
      <w:pPr>
        <w:pStyle w:val="Normal"/>
        <w:ind w:hanging="720" w:start="720" w:end="0"/>
        <w:jc w:val="both"/>
        <w:rPr>
          <w:b/>
        </w:rPr>
      </w:pPr>
      <w:r>
        <w:rPr>
          <w:b/>
        </w:rPr>
        <w:t>6.</w:t>
        <w:tab/>
        <w:t>UDC Advice Letter Filings on Energy Charge/ Credit</w:t>
      </w:r>
    </w:p>
    <w:p>
      <w:pPr>
        <w:pStyle w:val="Normal"/>
        <w:ind w:hanging="720" w:start="720" w:end="0"/>
        <w:jc w:val="both"/>
        <w:rPr>
          <w:b/>
        </w:rPr>
      </w:pPr>
      <w:r>
        <w:rPr>
          <w:b/>
        </w:rPr>
      </w:r>
    </w:p>
    <w:p>
      <w:pPr>
        <w:pStyle w:val="Normal"/>
        <w:ind w:hanging="720" w:start="720" w:end="0"/>
        <w:jc w:val="both"/>
        <w:rPr/>
      </w:pPr>
      <w:r>
        <w:rPr>
          <w:b/>
        </w:rPr>
        <w:tab/>
      </w:r>
      <w:r>
        <w:rPr/>
        <w:t>In Decision 01-01-061 (the decision on retained generation), the Commission directed PG&amp;E and SCE to file advice letters by March 2</w:t>
      </w:r>
      <w:r>
        <w:rPr>
          <w:vertAlign w:val="superscript"/>
        </w:rPr>
        <w:t>nd</w:t>
      </w:r>
      <w:r>
        <w:rPr/>
        <w:t xml:space="preserve"> which establish a cost based rate for its retained generation effective as of the date that the UDCs stopped selling power to the PX (December 28, 2000).  The UDCs are viewing this as a directive that as the energy rate as of that date will be cost based, so will the energy credit. The UDCs made their filings on March 2</w:t>
      </w:r>
      <w:r>
        <w:rPr>
          <w:vertAlign w:val="superscript"/>
        </w:rPr>
        <w:t>nd</w:t>
      </w:r>
      <w:r>
        <w:rPr/>
        <w:t>.  Protests on the filings are due today, March 22</w:t>
      </w:r>
      <w:r>
        <w:rPr>
          <w:vertAlign w:val="superscript"/>
        </w:rPr>
        <w:t>nd</w:t>
      </w:r>
      <w:r>
        <w:rPr/>
        <w:t>.   Enron Energy Services decided not to protest the advice filings.  As the ratemaking mechanisms established in Decision 01-01-061 were made subject to refund and adjustment, the belief is that these mechanisms will be reviewed in the next phase of the rate stabilization proceedings. Enron will be able to raise its arguments at this time.</w:t>
      </w:r>
    </w:p>
    <w:p>
      <w:pPr>
        <w:pStyle w:val="Normal"/>
        <w:ind w:hanging="720" w:start="720" w:end="0"/>
        <w:jc w:val="both"/>
        <w:rPr/>
      </w:pPr>
      <w:r>
        <w:rPr/>
      </w:r>
    </w:p>
    <w:p>
      <w:pPr>
        <w:pStyle w:val="Normal"/>
        <w:ind w:hanging="720" w:start="720" w:end="0"/>
        <w:jc w:val="both"/>
        <w:rPr>
          <w:b/>
        </w:rPr>
      </w:pPr>
      <w:r>
        <w:rPr>
          <w:b/>
        </w:rPr>
        <w:t>7.*</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A prehearing conference was held on March 6.  The ALJ severed the SCE counterclaim from the remainder of the proceeding, placing it on a separate track.  We filed a motion to dismiss the counterclaim on March 19</w:t>
      </w:r>
      <w:r>
        <w:rPr>
          <w:vertAlign w:val="superscript"/>
        </w:rPr>
        <w:t>th</w:t>
      </w:r>
      <w:r>
        <w:rPr/>
        <w:t>, SCE has two weeks to file its response.  Discovery requests were served this week in the non-counterclaim part of the case, with responses due on April 2</w:t>
      </w:r>
      <w:r>
        <w:rPr>
          <w:vertAlign w:val="superscript"/>
        </w:rPr>
        <w:t>nd</w:t>
      </w:r>
      <w:r>
        <w:rPr/>
        <w:t xml:space="preserve">. </w:t>
      </w:r>
    </w:p>
    <w:p>
      <w:pPr>
        <w:pStyle w:val="Normal"/>
        <w:ind w:hanging="720" w:start="720" w:end="0"/>
        <w:jc w:val="both"/>
        <w:rPr/>
      </w:pPr>
      <w:r>
        <w:rPr/>
      </w:r>
    </w:p>
    <w:p>
      <w:pPr>
        <w:pStyle w:val="Normal"/>
        <w:ind w:hanging="720" w:start="720" w:end="0"/>
        <w:jc w:val="both"/>
        <w:rPr/>
      </w:pPr>
      <w:r>
        <w:rPr/>
        <w:t>*</w:t>
        <w:tab/>
        <w:t>Talks with the UDCs and other parties as to the possibility of filing a motion to delay the proceedings have proven to be unsuccessful.</w:t>
      </w:r>
    </w:p>
    <w:p>
      <w:pPr>
        <w:pStyle w:val="Normal"/>
        <w:ind w:hanging="720" w:start="720" w:end="0"/>
        <w:jc w:val="both"/>
        <w:rPr/>
      </w:pPr>
      <w:r>
        <w:rPr/>
        <w:t xml:space="preserve">  </w:t>
      </w:r>
    </w:p>
    <w:p>
      <w:pPr>
        <w:pStyle w:val="Normal"/>
        <w:ind w:hanging="720" w:start="720" w:end="0"/>
        <w:jc w:val="both"/>
        <w:rPr>
          <w:b/>
        </w:rPr>
      </w:pPr>
      <w:r>
        <w:rPr>
          <w:b/>
        </w:rPr>
        <w:t>8.</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Reply comments are due by April 20</w:t>
      </w:r>
      <w:r>
        <w:rPr>
          <w:vertAlign w:val="superscript"/>
        </w:rPr>
        <w:t>th</w:t>
      </w:r>
      <w:r>
        <w:rPr/>
        <w:t>.</w:t>
      </w:r>
    </w:p>
    <w:p>
      <w:pPr>
        <w:pStyle w:val="Normal"/>
        <w:ind w:hanging="720" w:start="720" w:end="0"/>
        <w:jc w:val="both"/>
        <w:rPr/>
      </w:pPr>
      <w:r>
        <w:rPr/>
        <w:t xml:space="preserve">    </w:t>
      </w:r>
      <w:r>
        <w:rPr>
          <w:b/>
        </w:rPr>
        <w:t xml:space="preserve">  </w:t>
      </w:r>
      <w:r>
        <w:rPr/>
        <w:t xml:space="preserve">               </w:t>
      </w:r>
      <w:r>
        <w:rPr>
          <w:b/>
        </w:rPr>
        <w:tab/>
      </w:r>
      <w:r>
        <w:rPr/>
        <w:t xml:space="preserve">    </w:t>
      </w:r>
    </w:p>
    <w:p>
      <w:pPr>
        <w:pStyle w:val="Normal"/>
        <w:ind w:start="720" w:end="0"/>
        <w:jc w:val="both"/>
        <w:rPr/>
      </w:pPr>
      <w:r>
        <w:rPr/>
      </w:r>
    </w:p>
    <w:p>
      <w:pPr>
        <w:pStyle w:val="Normal"/>
        <w:ind w:start="720" w:end="0"/>
        <w:jc w:val="both"/>
        <w:rPr/>
      </w:pPr>
      <w:r>
        <w:rPr/>
        <w:t xml:space="preserve">    </w:t>
      </w:r>
      <w:r>
        <w:rPr>
          <w:rStyle w:val="zzmpTrailerItem"/>
        </w:rPr>
        <w:t>2704/009/X20615-1</w:t>
      </w:r>
      <w:r>
        <w:rPr/>
        <w:t xml:space="preserve"> </w:t>
      </w:r>
    </w:p>
    <w:sectPr>
      <w:headerReference w:type="default" r:id="rId2"/>
      <w:footerReference w:type="default" r:id="rId3"/>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While the rate increase will not hit customers bills immediately, SCE and PG&amp;E have been authorized to track the revenues which would have been generated by an additional three cents per kWh.  SCE and PG&amp;E will be able to collect this amount subsequent to the determination of the appropriate rate design.   </w:t>
      </w:r>
    </w:p>
  </w:footnote>
  <w:footnote w:id="3">
    <w:p>
      <w:pPr>
        <w:pStyle w:val="FootnoteText"/>
        <w:spacing w:before="0" w:after="240"/>
        <w:ind w:hanging="720" w:start="720" w:end="0"/>
        <w:jc w:val="both"/>
        <w:rPr/>
      </w:pPr>
      <w:r>
        <w:rPr>
          <w:rStyle w:val="FootnoteCharacters"/>
        </w:rPr>
        <w:footnoteRef/>
      </w:r>
      <w:r>
        <w:rPr/>
        <w:t xml:space="preserve"> </w:t>
      </w:r>
      <w:r>
        <w:rPr/>
        <w:tab/>
        <w:t xml:space="preserve">This was not payment for the entire cost of the electricity purchased by DWR for the UDCs’ end use customers, but rather payment of an amount which equals the product of the kWh purchased and the generation related component of the UDC’s rates.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2001-03-29T22:33:00Z</dcterms:created>
  <dc:creator>JMB</dc:creator>
  <dc:description/>
  <dc:language>en-CA</dc:language>
  <cp:lastModifiedBy>JMB</cp:lastModifiedBy>
  <cp:lastPrinted>2001-02-02T17:13:00Z</cp:lastPrinted>
  <dcterms:modified xsi:type="dcterms:W3CDTF">2001-03-29T22:33:00Z</dcterms:modified>
  <cp:revision>2</cp:revision>
  <dc:subject/>
  <dc:title>CPUC PROCEEDINGS (Active or Monitoring) </dc:title>
</cp:coreProperties>
</file>