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6/28/01)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pPr>
      <w:r>
        <w:rPr/>
        <w:tab/>
        <w:t>At a continuation meeting held on May 15</w:t>
      </w:r>
      <w:r>
        <w:rPr>
          <w:vertAlign w:val="superscript"/>
        </w:rPr>
        <w:t>th</w:t>
      </w:r>
      <w:r>
        <w:rPr/>
        <w:t>, the Commission voted out Decision 01-05-064, approving the cost allocation and rate design for the previously approved three cent per kWh rate increase.  SCE and PG&amp;E filed compliance advice letters on May 22, 2001 and the new rates went into effect on June 1</w:t>
      </w:r>
      <w:r>
        <w:rPr>
          <w:vertAlign w:val="superscript"/>
        </w:rPr>
        <w:t>st</w:t>
      </w:r>
      <w:r>
        <w:rPr/>
        <w:t xml:space="preserve"> (June 3</w:t>
      </w:r>
      <w:r>
        <w:rPr>
          <w:vertAlign w:val="superscript"/>
        </w:rPr>
        <w:t>rd</w:t>
      </w:r>
      <w:r>
        <w:rPr/>
        <w:t xml:space="preserve"> for SCE). </w:t>
      </w:r>
    </w:p>
    <w:p>
      <w:pPr>
        <w:pStyle w:val="Normal"/>
        <w:ind w:hanging="720" w:start="720" w:end="0"/>
        <w:jc w:val="both"/>
        <w:rPr/>
      </w:pPr>
      <w:r>
        <w:rPr/>
      </w:r>
    </w:p>
    <w:p>
      <w:pPr>
        <w:pStyle w:val="Normal"/>
        <w:ind w:hanging="720" w:start="720" w:end="0"/>
        <w:jc w:val="both"/>
        <w:rPr/>
      </w:pPr>
      <w:r>
        <w:rPr/>
        <w:t>*</w:t>
        <w:tab/>
        <w:t>A workshop on the implementation of a real time pricing program was held on May 21, 2001.  The goal is to have some form of voluntary program in place by July 1, 2001.  While there was a lot of discussion at the workshop, a clear plan on how to get a program in place by mid summer was not formulated.  Apparently the Commission is not moving as fast as the California Energy Commission (a primary proponent of real time pricing)  would like, as on June 21</w:t>
      </w:r>
      <w:r>
        <w:rPr>
          <w:vertAlign w:val="superscript"/>
        </w:rPr>
        <w:t>st</w:t>
      </w:r>
      <w:r>
        <w:rPr/>
        <w:t xml:space="preserve"> the CEC filed a Petition to Modify Decision 01-05-064, requesting immediate adoption of a real time pricing tariff (which it appended to the filing).  The CEC asked for comments on the petition by June 26</w:t>
      </w:r>
      <w:r>
        <w:rPr>
          <w:vertAlign w:val="superscript"/>
        </w:rPr>
        <w:t>th</w:t>
      </w:r>
      <w:r>
        <w:rPr/>
        <w:t xml:space="preserve"> and for the Commission to vote on it at their June 28</w:t>
      </w:r>
      <w:r>
        <w:rPr>
          <w:vertAlign w:val="superscript"/>
        </w:rPr>
        <w:t>th</w:t>
      </w:r>
      <w:r>
        <w:rPr/>
        <w:t xml:space="preserve"> meeting.  The Commission did not issue any ruling accepting the CEC’s requested schedule and did not deal with the Petition at its June 28</w:t>
      </w:r>
      <w:r>
        <w:rPr>
          <w:vertAlign w:val="superscript"/>
        </w:rPr>
        <w:t>th</w:t>
      </w:r>
      <w:r>
        <w:rPr/>
        <w:t xml:space="preserve"> meeting.</w:t>
      </w:r>
    </w:p>
    <w:p>
      <w:pPr>
        <w:pStyle w:val="Normal"/>
        <w:ind w:hanging="720" w:start="720" w:end="0"/>
        <w:jc w:val="both"/>
        <w:rPr/>
      </w:pPr>
      <w:r>
        <w:rPr/>
      </w:r>
    </w:p>
    <w:p>
      <w:pPr>
        <w:pStyle w:val="Normal"/>
        <w:ind w:hanging="720" w:start="720" w:end="0"/>
        <w:jc w:val="both"/>
        <w:rPr>
          <w:b/>
        </w:rPr>
      </w:pPr>
      <w:r>
        <w:rPr/>
        <w:t>*</w:t>
        <w:tab/>
        <w:t>On June 15, 2001, a ruling was issued in this docket setting a hearing schedule for determining the revenue requirements of SCE, PG&amp;E and SDG&amp;E related to retained generation, QFs, bilateral contracts, and ancillary services. The UDCs were directed to file testimony by June 20</w:t>
      </w:r>
      <w:r>
        <w:rPr>
          <w:vertAlign w:val="superscript"/>
        </w:rPr>
        <w:t>th</w:t>
      </w:r>
      <w:r>
        <w:rPr/>
        <w:t>.  Intervenor testimony is due July 2</w:t>
      </w:r>
      <w:r>
        <w:rPr>
          <w:vertAlign w:val="superscript"/>
        </w:rPr>
        <w:t>nd</w:t>
      </w:r>
      <w:r>
        <w:rPr/>
        <w:t>.  A prehearing conference is to be held on July 5</w:t>
      </w:r>
      <w:r>
        <w:rPr>
          <w:vertAlign w:val="superscript"/>
        </w:rPr>
        <w:t>th</w:t>
      </w:r>
      <w:r>
        <w:rPr/>
        <w:t>, with hearings starting on July 9</w:t>
      </w:r>
      <w:r>
        <w:rPr>
          <w:vertAlign w:val="superscript"/>
        </w:rPr>
        <w:t>th</w:t>
      </w:r>
      <w:r>
        <w:rPr/>
        <w:t>.  Subsequently, SCE and PG&amp;E filed motions requesting the issue of the allocation of DWR’ revenue requirement be brought into the retained generation proceeding.  On May 2</w:t>
      </w:r>
      <w:r>
        <w:rPr>
          <w:vertAlign w:val="superscript"/>
        </w:rPr>
        <w:t>nd</w:t>
      </w:r>
      <w:r>
        <w:rPr/>
        <w:t>, DWR had sent a letter to the Commission stating its revenue requirement through June 2002, and allocating that requirement among the three UDCs.  SCE and PG&amp;E want to examine whether the allocation among the three UDCs was made equitably, what the ultimate allocation to customers should be, and to ensure that recovery of DWR’s revenue requirement does not endanger their ability to recover their retained generation revenue requirement.  Responses to the Motions were due June 27</w:t>
      </w:r>
      <w:r>
        <w:rPr>
          <w:vertAlign w:val="superscript"/>
        </w:rPr>
        <w:t>th</w:t>
      </w:r>
      <w:r>
        <w:rPr/>
        <w:t xml:space="preserve">. There has been no ruling as of yet.                       </w:t>
      </w:r>
    </w:p>
    <w:p>
      <w:pPr>
        <w:pStyle w:val="Normal"/>
        <w:ind w:hanging="720" w:start="720" w:end="0"/>
        <w:jc w:val="both"/>
        <w:rPr>
          <w:b/>
        </w:rPr>
      </w:pPr>
      <w:r>
        <w:rPr>
          <w:b/>
        </w:rPr>
      </w:r>
    </w:p>
    <w:p>
      <w:pPr>
        <w:pStyle w:val="Normal"/>
        <w:ind w:hanging="720" w:start="720" w:end="0"/>
        <w:jc w:val="both"/>
        <w:rPr>
          <w:b/>
        </w:rPr>
      </w:pPr>
      <w:r>
        <w:rPr>
          <w:b/>
        </w:rPr>
        <w:t>2.</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w:t>
      </w:r>
    </w:p>
    <w:p>
      <w:pPr>
        <w:pStyle w:val="Normal"/>
        <w:tabs>
          <w:tab w:val="clear" w:pos="720"/>
          <w:tab w:val="left" w:pos="-270" w:leader="none"/>
        </w:tabs>
        <w:ind w:start="720" w:end="0"/>
        <w:jc w:val="both"/>
        <w:rPr/>
      </w:pPr>
      <w:r>
        <w:rPr/>
      </w:r>
    </w:p>
    <w:p>
      <w:pPr>
        <w:pStyle w:val="Normal"/>
        <w:tabs>
          <w:tab w:val="clear" w:pos="720"/>
          <w:tab w:val="left" w:pos="-270" w:leader="none"/>
        </w:tabs>
        <w:ind w:hanging="720" w:start="720" w:end="0"/>
        <w:jc w:val="both"/>
        <w:rPr/>
      </w:pPr>
      <w:r>
        <w:rPr/>
        <w:tab/>
        <w:t>On April 24</w:t>
      </w:r>
      <w:r>
        <w:rPr>
          <w:vertAlign w:val="superscript"/>
        </w:rPr>
        <w:t>th</w:t>
      </w:r>
      <w:r>
        <w:rPr/>
        <w:t xml:space="preserve"> the Commission issued a proposed decision aimed at implementing the portion of the bill establishing the frozen rate of 6.5 cents.  The PD stated that this frozen rate would only apply to bundled service customers.  At its May 14</w:t>
      </w:r>
      <w:r>
        <w:rPr>
          <w:vertAlign w:val="superscript"/>
        </w:rPr>
        <w:t>th</w:t>
      </w:r>
      <w:r>
        <w:rPr/>
        <w:t xml:space="preserve"> meeting, the Commission voted out the proposed decision, but removed the language as to the frozen rate only applying to bundled service customers. It is now unclear as to the applicability of the frozen rate to DA customers.  </w:t>
      </w:r>
    </w:p>
    <w:p>
      <w:pPr>
        <w:pStyle w:val="Normal"/>
        <w:tabs>
          <w:tab w:val="clear" w:pos="720"/>
          <w:tab w:val="left" w:pos="-270" w:leader="none"/>
        </w:tabs>
        <w:ind w:start="720" w:end="0"/>
        <w:jc w:val="both"/>
        <w:rPr/>
      </w:pPr>
      <w:r>
        <w:rPr/>
      </w:r>
    </w:p>
    <w:p>
      <w:pPr>
        <w:pStyle w:val="Normal"/>
        <w:ind w:hanging="720" w:start="720" w:end="0"/>
        <w:jc w:val="both"/>
        <w:rPr/>
      </w:pPr>
      <w:r>
        <w:rPr/>
        <w:t>*</w:t>
        <w:tab/>
        <w:t>On April 30</w:t>
      </w:r>
      <w:r>
        <w:rPr>
          <w:vertAlign w:val="superscript"/>
        </w:rPr>
        <w:t>th</w:t>
      </w:r>
      <w:r>
        <w:rPr/>
        <w:t>, an Assigned Commissioner’s Ruling was issued to set up a procedural vehicle for addressing potential adjustments to the 6.5 cent frozen rate and rate design for such potential adjusted rates. Hearings were held in the end of May, and briefing was completed by mid June.  The ALJ was to release a proposed decision by June 21</w:t>
      </w:r>
      <w:r>
        <w:rPr>
          <w:vertAlign w:val="superscript"/>
        </w:rPr>
        <w:t>st</w:t>
      </w:r>
      <w:r>
        <w:rPr/>
        <w:t>, with oral argument scheduled on June 25</w:t>
      </w:r>
      <w:r>
        <w:rPr>
          <w:vertAlign w:val="superscript"/>
        </w:rPr>
        <w:t>th</w:t>
      </w:r>
      <w:r>
        <w:rPr/>
        <w:t>.  The Commission was to vote on the decision at its June 28</w:t>
      </w:r>
      <w:r>
        <w:rPr>
          <w:vertAlign w:val="superscript"/>
        </w:rPr>
        <w:t>th</w:t>
      </w:r>
      <w:r>
        <w:rPr/>
        <w:t xml:space="preserve"> meeting, so that new rates could go into effect on July 1. By notice issued on June 22</w:t>
      </w:r>
      <w:r>
        <w:rPr>
          <w:vertAlign w:val="superscript"/>
        </w:rPr>
        <w:t>nd</w:t>
      </w:r>
      <w:r>
        <w:rPr/>
        <w:t>, the ALJ stated that his proposed decision would not be released and that the oral argument had been cancelled.   These events are likely tied to the recently executed agreement between SDG&amp;E and DWR (comparable to the MOU executed between SCE and DWR).</w:t>
      </w:r>
    </w:p>
    <w:p>
      <w:pPr>
        <w:pStyle w:val="Normal"/>
        <w:ind w:hanging="720" w:start="720" w:end="0"/>
        <w:jc w:val="both"/>
        <w:rPr/>
      </w:pPr>
      <w:r>
        <w:rPr/>
        <w:t xml:space="preserve"> </w:t>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 xml:space="preserve">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A June 11, 2001, Assigned Commissioner’s Ruling indicated the Commission’s intent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tabs>
          <w:tab w:val="clear" w:pos="720"/>
          <w:tab w:val="left" w:pos="-270" w:leader="none"/>
        </w:tabs>
        <w:ind w:hanging="630" w:start="720" w:end="0"/>
        <w:jc w:val="both"/>
        <w:rPr/>
      </w:pPr>
      <w:r>
        <w:rPr/>
        <w:t>*</w:t>
        <w:tab/>
        <w:t xml:space="preserve">A prehearing conference was held on June 21, 2001.  The discussion focused on whether the Commission even had authority to change the baseline, or whether that authority rested with the legislature.  The Commission indicated its intent to proceed with its investigation; that the investigation would, at minimum, be used for making recommendations to the legislature for baseline changes.  No schedule was set for the proceeding. A scoping memo is anticipated within the next couple of weeks.   </w:t>
      </w:r>
    </w:p>
    <w:p>
      <w:pPr>
        <w:pStyle w:val="Normal"/>
        <w:tabs>
          <w:tab w:val="clear" w:pos="720"/>
          <w:tab w:val="left" w:pos="-270" w:leader="none"/>
        </w:tabs>
        <w:ind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thought on this latter change is that as gas fired cogeneration units are unable to purchase gas at the Malin price, they will not be able to operate at the price that they will be paid for their energy.  </w:t>
      </w:r>
    </w:p>
    <w:p>
      <w:pPr>
        <w:pStyle w:val="Normal"/>
        <w:ind w:start="720" w:end="0"/>
        <w:jc w:val="both"/>
        <w:rPr/>
      </w:pPr>
      <w:r>
        <w:rPr/>
      </w:r>
    </w:p>
    <w:p>
      <w:pPr>
        <w:pStyle w:val="Normal"/>
        <w:ind w:hanging="720" w:start="720" w:end="0"/>
        <w:jc w:val="both"/>
        <w:rPr/>
      </w:pPr>
      <w:r>
        <w:rPr/>
        <w:tab/>
        <w:t>At the Commission’s April 19, 2001 meeting it voted out an Order Instituting an Investigation into the Performance of Qualifying Facilities Under Existing Contracts.  In the Order, the Commission defined the preliminary scope of the proceeding as “exploring whether QFs are meeting (and will continue to meet) their lawful performance obligations, whether the Commission should take further action to ensure that the utilities and QFs are meeting their contractual obligations.”  A prehearing conference was held in this investigative proceeding on May 22, 2001. On May 25</w:t>
      </w:r>
      <w:r>
        <w:rPr>
          <w:vertAlign w:val="superscript"/>
        </w:rPr>
        <w:t>th</w:t>
      </w:r>
      <w:r>
        <w:rPr/>
        <w:t>, SCE filed its “Proposal Concerning Scope of Investigation and Scheduling Matters.”  Parties are to respond to the Proposal by June 4, 2001, with a Scoping Memo defining the parameters of the proceeding to be issued shortly thereafter.</w:t>
      </w:r>
      <w:r>
        <w:rPr>
          <w:vertAlign w:val="superscript"/>
        </w:rPr>
        <w:t xml:space="preserve">     </w:t>
      </w:r>
      <w:r>
        <w:rPr/>
        <w:t xml:space="preserve">   </w:t>
      </w:r>
    </w:p>
    <w:p>
      <w:pPr>
        <w:pStyle w:val="Normal"/>
        <w:ind w:hanging="810" w:start="720" w:end="0"/>
        <w:jc w:val="both"/>
        <w:rPr/>
      </w:pPr>
      <w:r>
        <w:rPr/>
      </w:r>
    </w:p>
    <w:p>
      <w:pPr>
        <w:pStyle w:val="Normal"/>
        <w:ind w:hanging="810" w:start="720" w:end="0"/>
        <w:jc w:val="both"/>
        <w:rPr/>
      </w:pPr>
      <w:r>
        <w:rPr/>
        <w:tab/>
        <w:t>On June 1, 2001, Commissioner Lynch issued a draft decision which pre-approved three voluntary QF contract amendments which the UDCs could undertake to effect with their QFs.  The draft decision also directed the UDCs to pay 15% of all amounts owed to any QF which could demonstrate an immediate need for such funds to continue or reestablish safe and reliable operation. The Commission voted out this order at a continuation meeting held June 13</w:t>
      </w:r>
      <w:r>
        <w:rPr>
          <w:vertAlign w:val="superscript"/>
        </w:rPr>
        <w:t>th</w:t>
      </w:r>
      <w:r>
        <w:rPr/>
        <w:t xml:space="preserve">.   </w:t>
      </w:r>
    </w:p>
    <w:p>
      <w:pPr>
        <w:pStyle w:val="Normal"/>
        <w:ind w:hanging="810" w:start="720" w:end="0"/>
        <w:jc w:val="both"/>
        <w:rPr/>
      </w:pPr>
      <w:r>
        <w:rPr/>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w:t>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That agreement was due to expire on June 15</w:t>
      </w:r>
      <w:r>
        <w:rPr>
          <w:vertAlign w:val="superscript"/>
        </w:rPr>
        <w:t>th</w:t>
      </w:r>
      <w:r>
        <w:rPr/>
        <w:t>.  A subsequent stipulation has been entered into buying an additional 45 days.</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w:t>
        <w:tab/>
      </w:r>
      <w:r>
        <w:rPr/>
        <w:t>On June 15, 2001 a draft decision was issued by ALJ Barnett on SCE’s petition. The draft decision granted the petition, also making the finding that the Stipulation that eradicated the direct access minimum bill did not require the payment of the PX credit in cash.  In addition, the draft decision, acting on the authority given the Commission in ABX1-1, suspended new direct access transactions as of July 1, 2001. An alternate draft decision was issued by Commissioner Bilas on the same day. While the alternate draft decision also granted SCE’s petition, it did not suspend direct access.  Rather, it solicited comments on how direct access could be maintained while also addressing the concerns of DWR with respect to the impact of direct access on the issuance of the bonds (i.e., without sufficient security of the revenue stream, the bonds could not be issued).</w:t>
      </w:r>
    </w:p>
    <w:p>
      <w:pPr>
        <w:pStyle w:val="Normal"/>
        <w:ind w:hanging="720" w:start="720" w:end="0"/>
        <w:jc w:val="both"/>
        <w:rPr/>
      </w:pPr>
      <w:r>
        <w:rPr/>
      </w:r>
    </w:p>
    <w:p>
      <w:pPr>
        <w:pStyle w:val="Normal"/>
        <w:ind w:hanging="720" w:start="720" w:end="0"/>
        <w:jc w:val="both"/>
        <w:rPr/>
      </w:pPr>
      <w:r>
        <w:rPr/>
        <w:t>*</w:t>
        <w:tab/>
        <w:t>Comments on the draft and alternate decisions were filed on Monday, June 25</w:t>
      </w:r>
      <w:r>
        <w:rPr>
          <w:vertAlign w:val="superscript"/>
        </w:rPr>
        <w:t>th</w:t>
      </w:r>
      <w:r>
        <w:rPr/>
        <w:t>, with reply comments due on the 27</w:t>
      </w:r>
      <w:r>
        <w:rPr>
          <w:vertAlign w:val="superscript"/>
        </w:rPr>
        <w:t>th</w:t>
      </w:r>
      <w:r>
        <w:rPr/>
        <w:t>.  The Commission was due to vote on the matter at their meeting of June 28</w:t>
      </w:r>
      <w:r>
        <w:rPr>
          <w:vertAlign w:val="superscript"/>
        </w:rPr>
        <w:t>th</w:t>
      </w:r>
      <w:r>
        <w:rPr/>
        <w:t>, but held the matter to a continuation meeting scheduled for July 3</w:t>
      </w:r>
      <w:r>
        <w:rPr>
          <w:vertAlign w:val="superscript"/>
        </w:rPr>
        <w:t>rd</w:t>
      </w:r>
      <w:r>
        <w:rPr/>
        <w:t>. Prior to the meeting on the 28</w:t>
      </w:r>
      <w:r>
        <w:rPr>
          <w:vertAlign w:val="superscript"/>
        </w:rPr>
        <w:t>th</w:t>
      </w:r>
      <w:r>
        <w:rPr/>
        <w:t xml:space="preserve">, Commissioner Bilas issued a revised alternate draft decision that did not substantively address SCE’s petition, but held it in abeyance to be addressed in another order.  In addition, the revised alternate, established a proceeding for dealing with the potential suspension of direct access.    A revised draft decision was not released by ALJ Barnett. </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b/>
        </w:rPr>
      </w:pP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b/>
        </w:rPr>
      </w:pPr>
      <w:r>
        <w:rPr>
          <w:b/>
        </w:rPr>
        <w:t>8.</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A prehearing conference was held this proceeding on April 17</w:t>
      </w:r>
      <w:r>
        <w:rPr>
          <w:vertAlign w:val="superscript"/>
        </w:rPr>
        <w:t>th</w:t>
      </w:r>
      <w:r>
        <w:rPr/>
        <w:t xml:space="preserve">.  A Scoping Memo was issued on May 15, 2001.  The scope of the proceeding was very narrowly tailored – it will address only whether to alter the assignment of priorities in the event of natural gas curtailment or diversion.  The proceeding will not address broader issues of the linkage between gas supply, gas transmission and gas storage policies.  The Commission does not intend to hold hearings in the matter.  A draft decision on the narrowly defined issue will be issued in June.   </w:t>
      </w:r>
    </w:p>
    <w:p>
      <w:pPr>
        <w:pStyle w:val="Normal"/>
        <w:ind w:hanging="720" w:start="720" w:end="0"/>
        <w:jc w:val="both"/>
        <w:rPr/>
      </w:pPr>
      <w:r>
        <w:rPr/>
      </w:r>
    </w:p>
    <w:p>
      <w:pPr>
        <w:pStyle w:val="Normal"/>
        <w:ind w:hanging="720" w:start="720" w:end="0"/>
        <w:jc w:val="both"/>
        <w:rPr>
          <w:b/>
        </w:rPr>
      </w:pPr>
      <w:r>
        <w:rPr>
          <w:b/>
        </w:rPr>
        <w:t>9.</w:t>
        <w:tab/>
        <w:t>PG&amp;E Request for Emergency Assistance from SoCalGas</w:t>
      </w:r>
    </w:p>
    <w:p>
      <w:pPr>
        <w:pStyle w:val="Normal"/>
        <w:ind w:hanging="720" w:start="720" w:end="0"/>
        <w:jc w:val="both"/>
        <w:rPr/>
      </w:pPr>
      <w:r>
        <w:rPr/>
        <w:tab/>
      </w:r>
      <w:r>
        <w:rPr>
          <w:b/>
        </w:rPr>
        <w:t>A. 01-01-024</w:t>
        <w:tab/>
      </w:r>
    </w:p>
    <w:p>
      <w:pPr>
        <w:pStyle w:val="Normal"/>
        <w:ind w:start="720" w:end="0"/>
        <w:jc w:val="both"/>
        <w:rPr>
          <w:b/>
        </w:rPr>
      </w:pPr>
      <w:r>
        <w:rPr>
          <w:b/>
        </w:rPr>
      </w:r>
    </w:p>
    <w:p>
      <w:pPr>
        <w:pStyle w:val="Normal"/>
        <w:ind w:hanging="720" w:start="720" w:end="0"/>
        <w:jc w:val="both"/>
        <w:rPr/>
      </w:pPr>
      <w:r>
        <w:rPr/>
        <w:tab/>
        <w:t>In January, PG&amp;E filed an application with the Commission seeking a finding on an imminent gas supply emergency and an order directing SoCalGas to provide mutual assistance.  While there was some initial action on the application, no decision was issued.  On April 30</w:t>
      </w:r>
      <w:r>
        <w:rPr>
          <w:vertAlign w:val="superscript"/>
        </w:rPr>
        <w:t>th</w:t>
      </w:r>
      <w:r>
        <w:rPr/>
        <w:t>, PG&amp;E filed a Motion to withdraw the application, citing that changed circumstances indicate that PG&amp;E will not require emergency assistance in the near term. PG&amp;E requests that the Commission grant the Motion without prejudice to filing another such request if the situation dictates.   On May 29, 2001, the Commission issued a draft decision granting the withdrawal.</w:t>
      </w:r>
    </w:p>
    <w:p>
      <w:pPr>
        <w:pStyle w:val="Normal"/>
        <w:ind w:start="720" w:end="0"/>
        <w:jc w:val="both"/>
        <w:rPr/>
      </w:pPr>
      <w:r>
        <w:rPr/>
      </w:r>
    </w:p>
    <w:p>
      <w:pPr>
        <w:pStyle w:val="Normal"/>
        <w:ind w:hanging="720" w:start="720" w:end="0"/>
        <w:jc w:val="both"/>
        <w:rPr/>
      </w:pPr>
      <w:r>
        <w:rPr/>
        <w:t xml:space="preserve">    </w:t>
      </w:r>
      <w:r>
        <w:rPr>
          <w:rStyle w:val="zzmpTrailerItem"/>
        </w:rPr>
        <w:t>2704/009/X20615-1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2001-06-28T18:14:00Z</dcterms:created>
  <dc:creator>JMB</dc:creator>
  <dc:description/>
  <dc:language>en-CA</dc:language>
  <cp:lastModifiedBy>JMB</cp:lastModifiedBy>
  <cp:lastPrinted>2001-02-02T17:13:00Z</cp:lastPrinted>
  <dcterms:modified xsi:type="dcterms:W3CDTF">2001-06-28T18:14:00Z</dcterms:modified>
  <cp:revision>2</cp:revision>
  <dc:subject/>
  <dc:title/>
</cp:coreProperties>
</file>