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576" w:type="dxa"/>
        <w:jc w:val="start"/>
        <w:tblInd w:w="0" w:type="dxa"/>
        <w:tblLayout w:type="fixed"/>
        <w:tblCellMar>
          <w:top w:w="0" w:type="dxa"/>
          <w:start w:w="108" w:type="dxa"/>
          <w:bottom w:w="0" w:type="dxa"/>
          <w:end w:w="108" w:type="dxa"/>
        </w:tblCellMar>
      </w:tblPr>
      <w:tblGrid>
        <w:gridCol w:w="6498"/>
        <w:gridCol w:w="3078"/>
      </w:tblGrid>
      <w:tr>
        <w:trPr/>
        <w:tc>
          <w:tcPr>
            <w:tcW w:w="6498" w:type="dxa"/>
            <w:tcBorders>
              <w:bottom w:val="single" w:sz="6" w:space="0" w:color="000000"/>
              <w:end w:val="single" w:sz="6" w:space="0" w:color="000000"/>
            </w:tcBorders>
          </w:tcPr>
          <w:p>
            <w:pPr>
              <w:pStyle w:val="Normal"/>
              <w:tabs>
                <w:tab w:val="clear" w:pos="720"/>
                <w:tab w:val="left" w:pos="1440" w:leader="none"/>
              </w:tabs>
              <w:rPr/>
            </w:pPr>
            <w:r>
              <w:rPr/>
              <w:t>Expedited Application of Pacific Gas and Electric Company (1) to issue, sell and deliver one or more series of its First and Refunding Mortgage Bonds, debentures, subordinated deferrable interest debentures, promissory notes and/or other evidences of indebtedness in connection with domestic or Euro-market offerings, to guarantee the obligations of others in respect of the issuance of securities and to arrange for standby letters of credit as performance guarantees, the total aggregate principal amount of such issuances and guarantees not to exceed $2 billion; (2) to enter into one or more interest rate caps, collars and swaps; (3) to issue variable rate debt (including fixed rate debt swapped to a variable rate) to finance balancing account undercollections; and (4) for an exemption from the Competitive Bidding Rule</w:t>
            </w:r>
          </w:p>
          <w:p>
            <w:pPr>
              <w:pStyle w:val="Normal"/>
              <w:tabs>
                <w:tab w:val="clear" w:pos="720"/>
                <w:tab w:val="left" w:pos="1440" w:leader="none"/>
              </w:tabs>
              <w:jc w:val="end"/>
              <w:rPr/>
            </w:pPr>
            <w:r>
              <w:rPr/>
              <w:t>(U 39 M)</w:t>
            </w:r>
          </w:p>
        </w:tc>
        <w:tc>
          <w:tcPr>
            <w:tcW w:w="3078" w:type="dxa"/>
            <w:tcBorders/>
          </w:tcPr>
          <w:p>
            <w:pPr>
              <w:pStyle w:val="Normal"/>
              <w:snapToGrid w:val="false"/>
              <w:ind w:start="252" w:end="0"/>
              <w:rPr/>
            </w:pPr>
            <w:r>
              <w:rPr/>
            </w:r>
          </w:p>
          <w:p>
            <w:pPr>
              <w:pStyle w:val="Normal"/>
              <w:ind w:start="252" w:end="0"/>
              <w:rPr/>
            </w:pPr>
            <w:r>
              <w:rPr/>
            </w:r>
          </w:p>
          <w:p>
            <w:pPr>
              <w:pStyle w:val="Normal"/>
              <w:ind w:start="252" w:end="0"/>
              <w:rPr/>
            </w:pPr>
            <w:r>
              <w:rPr/>
              <w:t>Application No. 00-10-029</w:t>
            </w:r>
          </w:p>
          <w:p>
            <w:pPr>
              <w:pStyle w:val="Normal"/>
              <w:ind w:start="252" w:end="0"/>
              <w:jc w:val="center"/>
              <w:rPr/>
            </w:pPr>
            <w:r>
              <w:rPr/>
            </w:r>
          </w:p>
          <w:p>
            <w:pPr>
              <w:pStyle w:val="Normal"/>
              <w:ind w:start="252" w:end="0"/>
              <w:rPr/>
            </w:pPr>
            <w:r>
              <w:rPr/>
            </w:r>
          </w:p>
        </w:tc>
      </w:tr>
    </w:tbl>
    <w:p>
      <w:pPr>
        <w:pStyle w:val="Normal"/>
        <w:rPr>
          <w:b/>
        </w:rPr>
      </w:pPr>
      <w:r>
        <w:rPr>
          <w:b/>
        </w:rPr>
      </w:r>
    </w:p>
    <w:p>
      <w:pPr>
        <w:pStyle w:val="Normal"/>
        <w:rPr>
          <w:b/>
        </w:rPr>
      </w:pPr>
      <w:r>
        <w:rPr>
          <w:b/>
        </w:rPr>
      </w:r>
    </w:p>
    <w:p>
      <w:pPr>
        <w:pStyle w:val="Normal"/>
        <w:numPr>
          <w:ilvl w:val="0"/>
          <w:numId w:val="0"/>
        </w:numPr>
        <w:jc w:val="center"/>
        <w:outlineLvl w:val="0"/>
        <w:rPr>
          <w:b/>
        </w:rPr>
      </w:pPr>
      <w:r>
        <w:rPr>
          <w:b/>
        </w:rPr>
        <w:t>RESPONSE OF ENRON NORTH AMERICA CORP. AND</w:t>
      </w:r>
    </w:p>
    <w:p>
      <w:pPr>
        <w:pStyle w:val="Normal"/>
        <w:jc w:val="center"/>
        <w:rPr>
          <w:b/>
        </w:rPr>
      </w:pPr>
      <w:r>
        <w:rPr>
          <w:b/>
        </w:rPr>
        <w:t>ENRON ENERGY SERVICES, INC. IN OPPOSITION TO</w:t>
      </w:r>
    </w:p>
    <w:p>
      <w:pPr>
        <w:pStyle w:val="Normal"/>
        <w:numPr>
          <w:ilvl w:val="0"/>
          <w:numId w:val="0"/>
        </w:numPr>
        <w:jc w:val="center"/>
        <w:outlineLvl w:val="0"/>
        <w:rPr>
          <w:b/>
        </w:rPr>
      </w:pPr>
      <w:r>
        <w:rPr>
          <w:b/>
        </w:rPr>
        <w:t>THE SECOND EXPEDITED PETITION FOR MODIFICATION</w:t>
      </w:r>
    </w:p>
    <w:p>
      <w:pPr>
        <w:pStyle w:val="Normal"/>
        <w:numPr>
          <w:ilvl w:val="0"/>
          <w:numId w:val="0"/>
        </w:numPr>
        <w:jc w:val="center"/>
        <w:outlineLvl w:val="0"/>
        <w:rPr>
          <w:b/>
        </w:rPr>
      </w:pPr>
      <w:r>
        <w:rPr>
          <w:b/>
        </w:rPr>
        <w:t>OF DECISION NO. 00-12-064 AND AUTHORIZATION UNDER SECTION 851</w:t>
      </w:r>
    </w:p>
    <w:p>
      <w:pPr>
        <w:pStyle w:val="Normal"/>
        <w:numPr>
          <w:ilvl w:val="0"/>
          <w:numId w:val="0"/>
        </w:numPr>
        <w:jc w:val="center"/>
        <w:outlineLvl w:val="0"/>
        <w:rPr>
          <w:b/>
        </w:rPr>
      </w:pPr>
      <w:r>
        <w:rPr>
          <w:b/>
        </w:rPr>
        <w:t>ON AN EMERGENCY BASIS FILED BY PACIFIC GAS &amp; ELECTRIC COMPANY</w:t>
      </w:r>
    </w:p>
    <w:p>
      <w:pPr>
        <w:pStyle w:val="Normal"/>
        <w:jc w:val="center"/>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January __, 2001</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North America Corp. and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lineRule="exact" w:line="480" w:before="0" w:after="720"/>
        <w:jc w:val="center"/>
        <w:rPr/>
      </w:pPr>
      <w:r>
        <w:rPr/>
        <w:t>BEFORE THE PUBLIC UTILITIES COMMISSION</w:t>
        <w:br/>
        <w:t>OF THE STATE OF CALIFORNIA</w:t>
      </w:r>
    </w:p>
    <w:tbl>
      <w:tblPr>
        <w:tblW w:w="20448" w:type="dxa"/>
        <w:jc w:val="start"/>
        <w:tblInd w:w="0" w:type="dxa"/>
        <w:tblLayout w:type="fixed"/>
        <w:tblCellMar>
          <w:top w:w="0" w:type="dxa"/>
          <w:start w:w="108" w:type="dxa"/>
          <w:bottom w:w="0" w:type="dxa"/>
          <w:end w:w="108" w:type="dxa"/>
        </w:tblCellMar>
      </w:tblPr>
      <w:tblGrid>
        <w:gridCol w:w="5688"/>
        <w:gridCol w:w="5688"/>
        <w:gridCol w:w="5688"/>
        <w:gridCol w:w="3384"/>
      </w:tblGrid>
      <w:tr>
        <w:trPr/>
        <w:tc>
          <w:tcPr>
            <w:tcW w:w="5688" w:type="dxa"/>
            <w:tcBorders>
              <w:bottom w:val="single" w:sz="6" w:space="0" w:color="000000"/>
              <w:end w:val="single" w:sz="6" w:space="0" w:color="000000"/>
            </w:tcBorders>
          </w:tcPr>
          <w:p>
            <w:pPr>
              <w:pStyle w:val="Normal"/>
              <w:tabs>
                <w:tab w:val="clear" w:pos="720"/>
                <w:tab w:val="left" w:pos="1440" w:leader="none"/>
              </w:tabs>
              <w:rPr/>
            </w:pPr>
            <w:r>
              <w:rPr/>
              <w:t>Expedited Application of Pacific Gas and Electric Company (1) to issue, sell and deliver one or more series of its First and Refunding Mortgage Bonds, debentures, subordinated deferrable interest debentures, promissory notes and/or other evidences of indebtedness in connection with domestic or Euro-market offerings, to guarantee the obligations of others in respect of the issuance of securities and to arrange for standby letters of credit as performance guarantees, the total aggregate principal amount of such issuances and guarantees not to exceed $2 billion; (2) to enter into one or more interest rate caps, collars and swaps; (3) to issue variable rate debt (including fixed rate debt swapped to a variable rate) to finance balancing account undercollections; and (4) for an exemption from the Competitive Bidding Rule</w:t>
            </w:r>
          </w:p>
          <w:p>
            <w:pPr>
              <w:pStyle w:val="Normal"/>
              <w:tabs>
                <w:tab w:val="clear" w:pos="720"/>
                <w:tab w:val="left" w:pos="1440" w:leader="none"/>
              </w:tabs>
              <w:jc w:val="end"/>
              <w:rPr/>
            </w:pPr>
            <w:r>
              <w:rPr/>
              <w:t>(U 39 M)</w:t>
            </w:r>
          </w:p>
        </w:tc>
        <w:tc>
          <w:tcPr>
            <w:tcW w:w="5688" w:type="dxa"/>
            <w:tcBorders>
              <w:start w:val="single" w:sz="6" w:space="0" w:color="000000"/>
              <w:bottom w:val="single" w:sz="6" w:space="0" w:color="000000"/>
              <w:end w:val="single" w:sz="6" w:space="0" w:color="000000"/>
            </w:tcBorders>
          </w:tcPr>
          <w:p>
            <w:pPr>
              <w:pStyle w:val="Normal"/>
              <w:snapToGrid w:val="false"/>
              <w:ind w:start="252" w:end="0"/>
              <w:rPr/>
            </w:pPr>
            <w:r>
              <w:rPr/>
            </w:r>
          </w:p>
          <w:p>
            <w:pPr>
              <w:pStyle w:val="Normal"/>
              <w:ind w:start="252" w:end="0"/>
              <w:rPr/>
            </w:pPr>
            <w:r>
              <w:rPr/>
            </w:r>
          </w:p>
          <w:p>
            <w:pPr>
              <w:pStyle w:val="Normal"/>
              <w:ind w:start="252" w:end="0"/>
              <w:rPr/>
            </w:pPr>
            <w:r>
              <w:rPr/>
              <w:t>Application No. 00-10-029</w:t>
            </w:r>
          </w:p>
          <w:p>
            <w:pPr>
              <w:pStyle w:val="Normal"/>
              <w:ind w:start="252" w:end="0"/>
              <w:jc w:val="center"/>
              <w:rPr/>
            </w:pPr>
            <w:r>
              <w:rPr/>
            </w:r>
          </w:p>
          <w:p>
            <w:pPr>
              <w:pStyle w:val="Normal"/>
              <w:ind w:start="252" w:end="0"/>
              <w:rPr/>
            </w:pPr>
            <w:r>
              <w:rPr/>
            </w:r>
          </w:p>
        </w:tc>
        <w:tc>
          <w:tcPr>
            <w:tcW w:w="5688" w:type="dxa"/>
            <w:tcBorders>
              <w:start w:val="single" w:sz="6" w:space="0" w:color="000000"/>
              <w:bottom w:val="single" w:sz="6" w:space="0" w:color="000000"/>
              <w:end w:val="single" w:sz="6" w:space="0" w:color="000000"/>
            </w:tcBorders>
          </w:tcPr>
          <w:p>
            <w:pPr>
              <w:pStyle w:val="Normal"/>
              <w:spacing w:before="0" w:after="240"/>
              <w:rPr/>
            </w:pPr>
            <w:r>
              <w:rPr/>
              <w:t>.</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tc>
      </w:tr>
    </w:tbl>
    <w:p>
      <w:pPr>
        <w:pStyle w:val="Normal"/>
        <w:rPr/>
      </w:pPr>
      <w:r>
        <w:rPr/>
      </w:r>
    </w:p>
    <w:p>
      <w:pPr>
        <w:pStyle w:val="Normal"/>
        <w:rPr/>
      </w:pPr>
      <w:r>
        <w:rPr/>
      </w:r>
    </w:p>
    <w:p>
      <w:pPr>
        <w:pStyle w:val="Normal"/>
        <w:numPr>
          <w:ilvl w:val="0"/>
          <w:numId w:val="0"/>
        </w:numPr>
        <w:jc w:val="center"/>
        <w:outlineLvl w:val="0"/>
        <w:rPr>
          <w:b/>
        </w:rPr>
      </w:pPr>
      <w:r>
        <w:rPr>
          <w:b/>
        </w:rPr>
        <w:t>RESPONSE OF ENRON NORTH AMERICA CORP. AND</w:t>
      </w:r>
    </w:p>
    <w:p>
      <w:pPr>
        <w:pStyle w:val="Normal"/>
        <w:jc w:val="center"/>
        <w:rPr>
          <w:b/>
        </w:rPr>
      </w:pPr>
      <w:r>
        <w:rPr>
          <w:b/>
        </w:rPr>
        <w:t>ENRON ENERGY SERVICES, INC. IN OPPOSITION TO</w:t>
      </w:r>
    </w:p>
    <w:p>
      <w:pPr>
        <w:pStyle w:val="Normal"/>
        <w:jc w:val="center"/>
        <w:rPr>
          <w:b/>
        </w:rPr>
      </w:pPr>
      <w:r>
        <w:rPr>
          <w:b/>
        </w:rPr>
        <w:t>THE SECOND EXPEDITED PETITION FOR MODIFICATION</w:t>
      </w:r>
    </w:p>
    <w:p>
      <w:pPr>
        <w:pStyle w:val="Normal"/>
        <w:jc w:val="center"/>
        <w:rPr>
          <w:b/>
        </w:rPr>
      </w:pPr>
      <w:r>
        <w:rPr>
          <w:b/>
        </w:rPr>
        <w:t>OF DECISION NO. 00-12-064 AND AUTHORIZATION UNDER SECTION 851</w:t>
      </w:r>
    </w:p>
    <w:p>
      <w:pPr>
        <w:pStyle w:val="Normal"/>
        <w:jc w:val="center"/>
        <w:rPr>
          <w:b/>
        </w:rPr>
      </w:pPr>
      <w:r>
        <w:rPr>
          <w:b/>
        </w:rPr>
        <w:t>ON AN EMERGENCY BASIS FILED BY PACIFIC GAS &amp; ELECTRIC COMPANY</w:t>
      </w:r>
    </w:p>
    <w:p>
      <w:pPr>
        <w:pStyle w:val="Normal"/>
        <w:jc w:val="center"/>
        <w:rPr>
          <w:b/>
        </w:rPr>
      </w:pPr>
      <w:r>
        <w:rPr>
          <w:b/>
        </w:rPr>
      </w:r>
    </w:p>
    <w:p>
      <w:pPr>
        <w:pStyle w:val="BodyText"/>
        <w:rPr>
          <w:b/>
        </w:rPr>
      </w:pPr>
      <w:r>
        <w:rPr>
          <w:b/>
        </w:rPr>
      </w:r>
    </w:p>
    <w:p>
      <w:pPr>
        <w:pStyle w:val="Normal"/>
        <w:spacing w:lineRule="auto" w:line="480"/>
        <w:rPr/>
      </w:pPr>
      <w:r>
        <w:rPr/>
        <w:t xml:space="preserve">Pursuant to Rule 47 of the Rules of Practice and Procedure of the Public Utilities Commission of the State of California (“CPUC” or “Commission”), Enron North America Corporation and Enron Energy Services, Inc. (collectively, “Enron”) hereby submits its Response in Opposition to the Second Expedited Petition for Modification of Decision No. </w:t>
      </w:r>
      <w:r>
        <w:rPr>
          <w:smallCaps/>
        </w:rPr>
        <w:t xml:space="preserve">00-12-064 </w:t>
      </w:r>
      <w:r>
        <w:rPr/>
        <w:t>and Authorization Under Section 851 on an Emergency Basis filed by Pacific Gas &amp; Electric Company (“PG&amp;E”) on January 22, 2001.</w:t>
      </w:r>
    </w:p>
    <w:p>
      <w:pPr>
        <w:pStyle w:val="Normal"/>
        <w:spacing w:lineRule="auto" w:line="480"/>
        <w:ind w:firstLine="1440" w:end="0"/>
        <w:rPr/>
      </w:pPr>
      <w:r>
        <w:rPr/>
        <w:t>Enron understands the magnitude of the financial difficulty in which PG&amp;E finds itself at the present time, and is fully supportive of PG&amp;E’s efforts to find innovative ways to maintain commercial relations with all of its suppliers, including natural gas suppliers.  There is much about the PG&amp;E proposal to seek permission to allow gas suppliers to take a security interest in the utility’s accounts receivable which may be a constructive partial solution to the problems facing PG&amp;E.  However, Enron, as a gas marketer, seller to PG&amp;E and a potential creditor, has questions and concerns about the proposed security program which have not been adequately answered by PG&amp;E’s necessarily abbreviated Emergency Petition for Modification.  In the absence of additional information which can resolve Enron’s concerns and questions, Enron urges the Commission to defer from immediately approving the PG&amp;E Petition on an expedited basis without providing parties with a meaningful opportunity to review and comment upon the proposal.</w:t>
      </w:r>
    </w:p>
    <w:p>
      <w:pPr>
        <w:pStyle w:val="Normal"/>
        <w:spacing w:lineRule="auto" w:line="480"/>
        <w:ind w:firstLine="1440" w:end="0"/>
        <w:rPr/>
      </w:pPr>
      <w:r>
        <w:rPr/>
        <w:t>Enron is prepared to work with PG&amp;E and submit its concerns and questions to PG&amp;E informally in order to attempt to resolve these issues quickly.  Enron merely asks the Commission to give parties enough time to understand how their rights and interests may be affected by the PG&amp;E proposal, and to comment upon such effects, before the Commission acts.</w:t>
      </w:r>
    </w:p>
    <w:p>
      <w:pPr>
        <w:pStyle w:val="Normal"/>
        <w:spacing w:lineRule="auto" w:line="480"/>
        <w:ind w:firstLine="1440" w:end="0"/>
        <w:rPr>
          <w:smallCaps/>
        </w:rPr>
      </w:pPr>
      <w:r>
        <w:rPr/>
        <w:t xml:space="preserve">Specifically, Enron has an ongoing relationship with PG&amp;E as a seller of natural gas.  To the extent PG&amp;E owes Enron or any other gas supplier for past deliveries of natural gas, how are those debts to be affected by the new proposal to create a  security interest in accounts receiveable?  Will PG&amp;E’s proposal result in the obligations owed by PG&amp;E for past deliveries of gas be subordinated to debts for future supplies of gas which are secured, as opposed to unsecured obligations?  Is there a way to place past and future gas suppliers in parity with regard to the </w:t>
      </w:r>
    </w:p>
    <w:p>
      <w:pPr>
        <w:pStyle w:val="BodyText"/>
        <w:keepNext w:val="true"/>
        <w:rPr>
          <w:smallCaps/>
        </w:rPr>
      </w:pPr>
      <w:r>
        <w:rPr>
          <w:smallCaps/>
        </w:rPr>
      </w:r>
    </w:p>
    <w:p>
      <w:pPr>
        <w:pStyle w:val="BodyText"/>
        <w:keepNext w:val="true"/>
        <w:rPr/>
      </w:pPr>
      <w:r>
        <w:rPr/>
        <w:t>Respectfully submitted this January __, 2001 at San Francisco, California.</w:t>
      </w:r>
    </w:p>
    <w:p>
      <w:pPr>
        <w:pStyle w:val="PleadingSignature"/>
        <w:spacing w:before="240" w:after="0"/>
        <w:rPr/>
      </w:pPr>
      <w:r>
        <w:rPr/>
        <w:t>GOODIN, MACBRIDE, SQUERI,</w:t>
        <w:br/>
        <w:t>RITCHIE &amp; DAY, LLP</w:t>
      </w:r>
    </w:p>
    <w:p>
      <w:pPr>
        <w:pStyle w:val="PleadingSignature"/>
        <w:rPr/>
      </w:pPr>
      <w:r>
        <w:rPr/>
        <w:t>Michael B. Day</w:t>
      </w:r>
    </w:p>
    <w:p>
      <w:pPr>
        <w:pStyle w:val="PleadingSignature"/>
        <w:tabs>
          <w:tab w:val="left" w:pos="5126" w:leader="none"/>
          <w:tab w:val="left" w:pos="6480" w:leader="none"/>
          <w:tab w:val="right" w:pos="9360" w:leader="none"/>
        </w:tabs>
        <w:rPr/>
      </w:pPr>
      <w:r>
        <w:rPr/>
        <w:t>505 Sansome Street, Suite 900</w:t>
        <w:br/>
        <w:t>San Francisco, California  94111</w:t>
        <w:br/>
        <w:t>Telephone:</w:t>
        <w:tab/>
        <w:t>(415) 392-7900</w:t>
        <w:br/>
        <w:t>Facsimile:</w:t>
        <w:tab/>
        <w:t>(415) 398-4321</w:t>
      </w:r>
    </w:p>
    <w:p>
      <w:pPr>
        <w:pStyle w:val="PleadingSignature"/>
        <w:spacing w:before="720" w:after="0"/>
        <w:rPr/>
      </w:pPr>
      <w:r>
        <w:rPr/>
        <w:t>By</w:t>
      </w:r>
    </w:p>
    <w:p>
      <w:pPr>
        <w:pStyle w:val="PleadingSignature"/>
        <w:pBdr>
          <w:top w:val="single" w:sz="4" w:space="1" w:color="000000"/>
        </w:pBdr>
        <w:tabs>
          <w:tab w:val="left" w:pos="5126" w:leader="none"/>
          <w:tab w:val="left" w:pos="5846" w:leader="none"/>
          <w:tab w:val="right" w:pos="9360" w:leader="none"/>
        </w:tabs>
        <w:ind w:start="5486" w:end="120"/>
        <w:rPr/>
      </w:pPr>
      <w:r>
        <w:rPr/>
        <w:tab/>
        <w:t>Michael B. Day</w:t>
      </w:r>
    </w:p>
    <w:p>
      <w:pPr>
        <w:pStyle w:val="PleadingSignature"/>
        <w:spacing w:before="240" w:after="0"/>
        <w:ind w:end="120"/>
        <w:rPr/>
      </w:pPr>
      <w:r>
        <w:rPr/>
        <w:t xml:space="preserve">Attorneys for Enron North America Corp. and Enron Energy Services, Inc. </w:t>
      </w:r>
    </w:p>
    <w:p>
      <w:pPr>
        <w:pStyle w:val="Normal"/>
        <w:rPr/>
      </w:pPr>
      <w:r>
        <w:rPr/>
      </w:r>
    </w:p>
    <w:p>
      <w:pPr>
        <w:pStyle w:val="Normal"/>
        <w:spacing w:lineRule="exact" w:line="200" w:before="240" w:after="0"/>
        <w:rPr/>
      </w:pPr>
      <w:r>
        <w:rPr>
          <w:rStyle w:val="zzmpTrailerItem"/>
        </w:rPr>
        <w:t>2704/147/X20304-1</w:t>
      </w:r>
      <w:r>
        <w:rPr/>
        <w:t xml:space="preserve"> </w:t>
      </w:r>
    </w:p>
    <w:sectPr>
      <w:headerReference w:type="default" r:id="rId6"/>
      <w:headerReference w:type="first" r:id="rId7"/>
      <w:footerReference w:type="default" r:id="rId8"/>
      <w:footerReference w:type="first" r:id="rId9"/>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opyTitle" w:val="False"/>
    <w:docVar w:name="chkIncludeCoverPage" w:val="True"/>
    <w:docVar w:name="chkIncludeFirmAddress" w:val="True"/>
    <w:docVar w:name="cmbAttyName" w:val="2017"/>
    <w:docVar w:name="cmbAttysFor" w:val="Respondent"/>
    <w:docVar w:name="cmbAuthorLists" w:val="-100"/>
    <w:docVar w:name="cmbCAttysFor" w:val="Appellant"/>
    <w:docVar w:name="cmbCrossActions" w:val="none"/>
    <w:docVar w:name="cmbDated" w:val="2"/>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0"/>
    <w:docVar w:name="cmbSetAuthorPref" w:val="2017"/>
    <w:docVar w:name="iTrailerType" w:val="1"/>
    <w:docVar w:name="lstAttyList" w:val="2017"/>
    <w:docVar w:name="lstCourts" w:val="Public Utilities Commission"/>
    <w:docVar w:name="lstSigType" w:val="PUC Signature"/>
    <w:docVar w:name="OtherCaptionItems" w:val="†"/>
    <w:docVar w:name="packedarray" w:val="Michael B. Day†2017"/>
    <w:docVar w:name="Restarted" w:val="True"/>
    <w:docVar w:name="tglUseFirmDefaults" w:val="False"/>
    <w:docVar w:name="txtAppealedFrom" w:val="San Francisco"/>
    <w:docVar w:name="txtAppealFrom" w:val="the Superior Court&#10;of California, City and County of"/>
    <w:docVar w:name="txtAttyName" w:val="Michael B. Day"/>
    <w:docVar w:name="txtAttysFor" w:val="Enron North America Corp. and Enron Energy Services, Inc."/>
    <w:docVar w:name="txtCaseNo" w:val="2nd Civil No. "/>
    <w:docVar w:name="txtCAttysFor" w:val="Appellant"/>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04/147/X2030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b/>
      <w:i w:val="false"/>
      <w:caps w:val="false"/>
      <w:smallCaps w:val="false"/>
      <w:strike w:val="false"/>
      <w:dstrike w:val="false"/>
      <w:shadow w:val="false"/>
      <w:vanish w:val="false"/>
      <w:color w:val="0000FF"/>
      <w:position w:val="0"/>
      <w:sz w:val="24"/>
      <w:u w:val="none"/>
      <w:vertAlign w:val="baseline"/>
    </w:rPr>
  </w:style>
  <w:style w:type="character" w:styleId="WW8Num2z2">
    <w:name w:val="WW8Num2z2"/>
    <w:qFormat/>
    <w:rPr>
      <w:b w:val="false"/>
      <w:i w:val="false"/>
      <w:caps w:val="false"/>
      <w:smallCaps w:val="false"/>
      <w:strike w:val="false"/>
      <w:dstrike w:val="false"/>
      <w:shadow w:val="false"/>
      <w:vanish w:val="false"/>
      <w:color w:val="0000FF"/>
      <w:position w:val="0"/>
      <w:sz w:val="24"/>
      <w:vertAlign w:val="baseline"/>
    </w:rPr>
  </w:style>
  <w:style w:type="character" w:styleId="WW8Num2z3">
    <w:name w:val="WW8Num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caps w:val="false"/>
      <w:smallCaps w:val="false"/>
      <w:strike w:val="false"/>
      <w:dstrike w:val="false"/>
      <w:shadow w:val="false"/>
      <w:vanish w:val="false"/>
      <w:color w:val="0000FF"/>
      <w:position w:val="0"/>
      <w:sz w:val="24"/>
      <w:u w:val="none"/>
      <w:vertAlign w:val="baseline"/>
    </w:rPr>
  </w:style>
  <w:style w:type="character" w:styleId="WW8Num2z7">
    <w:name w:val="WW8Num2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5040" w:end="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CoverPage">
    <w:name w:val="CoverPage"/>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2001-01-24T21:31:00Z</dcterms:created>
  <dc:creator>Michael B. Day</dc:creator>
  <dc:description/>
  <dc:language>en-CA</dc:language>
  <cp:lastModifiedBy>Michael B. Day</cp:lastModifiedBy>
  <dcterms:modified xsi:type="dcterms:W3CDTF">2001-01-24T21:31:00Z</dcterms:modified>
  <cp:revision>2</cp:revision>
  <dc:subject/>
  <dc:title>BEFORE THE PUBLIC UTILITIES COMMISSION</dc:title>
</cp:coreProperties>
</file>