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480" w:before="0" w:after="720"/>
        <w:jc w:val="center"/>
        <w:rPr/>
      </w:pPr>
      <w:r>
        <w:rPr/>
        <w:t>BEFORE THE PUBLIC UTILITIES COMMISSION</w:t>
        <w:br/>
        <w:t>OF THE STATE OF CALIFORNIA</w:t>
      </w:r>
    </w:p>
    <w:tbl>
      <w:tblPr>
        <w:tblW w:w="9072" w:type="dxa"/>
        <w:jc w:val="start"/>
        <w:tblInd w:w="0" w:type="dxa"/>
        <w:tblLayout w:type="fixed"/>
        <w:tblCellMar>
          <w:top w:w="0" w:type="dxa"/>
          <w:start w:w="108" w:type="dxa"/>
          <w:bottom w:w="0" w:type="dxa"/>
          <w:end w:w="108" w:type="dxa"/>
        </w:tblCellMar>
      </w:tblPr>
      <w:tblGrid>
        <w:gridCol w:w="5688"/>
        <w:gridCol w:w="3384"/>
      </w:tblGrid>
      <w:tr>
        <w:trPr/>
        <w:tc>
          <w:tcPr>
            <w:tcW w:w="5688" w:type="dxa"/>
            <w:tcBorders>
              <w:end w:val="single" w:sz="6" w:space="0" w:color="000000"/>
            </w:tcBorders>
          </w:tcPr>
          <w:p>
            <w:pPr>
              <w:pStyle w:val="Normal"/>
              <w:spacing w:before="0" w:after="240"/>
              <w:rPr/>
            </w:pPr>
            <w:r>
              <w:rPr/>
              <w:t>Application of PACIFIC GAS &amp; ELECTRIC COMPANY for an Order Pursuant to Section 1005.5(b) of the Public Utilities Code to Increase the Maximum Cost Specified in PG&amp;E’s Certificate of Public Convenience and Necessity to Construct the California Portion of the Expansion of its Natural Gas Pipeline.</w:t>
            </w:r>
          </w:p>
          <w:p>
            <w:pPr>
              <w:pStyle w:val="Normal"/>
              <w:rPr/>
            </w:pPr>
            <w:r>
              <w:rPr/>
            </w:r>
          </w:p>
        </w:tc>
        <w:tc>
          <w:tcPr>
            <w:tcW w:w="3384" w:type="dxa"/>
            <w:tcBorders/>
          </w:tcPr>
          <w:p>
            <w:pPr>
              <w:pStyle w:val="Normal"/>
              <w:tabs>
                <w:tab w:val="clear" w:pos="720"/>
                <w:tab w:val="left" w:pos="1872" w:leader="none"/>
              </w:tabs>
              <w:snapToGrid w:val="false"/>
              <w:jc w:val="center"/>
              <w:rPr/>
            </w:pPr>
            <w:r>
              <w:rPr/>
            </w:r>
          </w:p>
          <w:p>
            <w:pPr>
              <w:pStyle w:val="Normal"/>
              <w:tabs>
                <w:tab w:val="clear" w:pos="720"/>
                <w:tab w:val="left" w:pos="1872" w:leader="none"/>
              </w:tabs>
              <w:rPr/>
            </w:pPr>
            <w:r>
              <w:rPr/>
              <w:t>A.92-12-043</w:t>
            </w:r>
          </w:p>
          <w:p>
            <w:pPr>
              <w:pStyle w:val="Normal"/>
              <w:tabs>
                <w:tab w:val="clear" w:pos="720"/>
                <w:tab w:val="left" w:pos="1872" w:leader="none"/>
              </w:tabs>
              <w:rPr/>
            </w:pPr>
            <w:r>
              <w:rPr/>
              <w:t>A.93-03-038</w:t>
            </w:r>
          </w:p>
          <w:p>
            <w:pPr>
              <w:pStyle w:val="Normal"/>
              <w:tabs>
                <w:tab w:val="clear" w:pos="720"/>
                <w:tab w:val="left" w:pos="1872" w:leader="none"/>
              </w:tabs>
              <w:rPr/>
            </w:pPr>
            <w:r>
              <w:rPr/>
              <w:t>A.94-05-035</w:t>
            </w:r>
          </w:p>
          <w:p>
            <w:pPr>
              <w:pStyle w:val="Normal"/>
              <w:tabs>
                <w:tab w:val="clear" w:pos="720"/>
                <w:tab w:val="left" w:pos="1872" w:leader="none"/>
              </w:tabs>
              <w:rPr/>
            </w:pPr>
            <w:r>
              <w:rPr/>
              <w:t>A.94-06-034</w:t>
            </w:r>
          </w:p>
          <w:p>
            <w:pPr>
              <w:pStyle w:val="Normal"/>
              <w:tabs>
                <w:tab w:val="clear" w:pos="720"/>
                <w:tab w:val="left" w:pos="1872" w:leader="none"/>
              </w:tabs>
              <w:rPr/>
            </w:pPr>
            <w:r>
              <w:rPr/>
              <w:t>A.94-09-056</w:t>
            </w:r>
          </w:p>
          <w:p>
            <w:pPr>
              <w:pStyle w:val="Normal"/>
              <w:tabs>
                <w:tab w:val="clear" w:pos="720"/>
                <w:tab w:val="left" w:pos="1872" w:leader="none"/>
              </w:tabs>
              <w:rPr/>
            </w:pPr>
            <w:r>
              <w:rPr/>
              <w:t>A.94-06-044</w:t>
            </w:r>
          </w:p>
          <w:p>
            <w:pPr>
              <w:pStyle w:val="Normal"/>
              <w:tabs>
                <w:tab w:val="clear" w:pos="720"/>
                <w:tab w:val="left" w:pos="1872" w:leader="none"/>
              </w:tabs>
              <w:rPr/>
            </w:pPr>
            <w:r>
              <w:rPr/>
            </w:r>
          </w:p>
        </w:tc>
      </w:tr>
      <w:tr>
        <w:trPr/>
        <w:tc>
          <w:tcPr>
            <w:tcW w:w="5688" w:type="dxa"/>
            <w:tcBorders>
              <w:end w:val="single" w:sz="6" w:space="0" w:color="000000"/>
            </w:tcBorders>
          </w:tcPr>
          <w:p>
            <w:pPr>
              <w:pStyle w:val="Normal"/>
              <w:snapToGrid w:val="false"/>
              <w:spacing w:before="0" w:after="240"/>
              <w:rPr/>
            </w:pPr>
            <w:r>
              <w:rPr/>
            </w:r>
          </w:p>
          <w:p>
            <w:pPr>
              <w:pStyle w:val="Normal"/>
              <w:spacing w:before="0" w:after="240"/>
              <w:rPr/>
            </w:pPr>
            <w:r>
              <w:rPr/>
              <w:t>And Related Matters</w:t>
            </w:r>
          </w:p>
          <w:p>
            <w:pPr>
              <w:pStyle w:val="Normal"/>
              <w:spacing w:before="0" w:after="240"/>
              <w:rPr/>
            </w:pPr>
            <w:r>
              <w:rPr/>
            </w:r>
          </w:p>
        </w:tc>
        <w:tc>
          <w:tcPr>
            <w:tcW w:w="3384" w:type="dxa"/>
            <w:tcBorders/>
          </w:tcPr>
          <w:p>
            <w:pPr>
              <w:pStyle w:val="Normal"/>
              <w:tabs>
                <w:tab w:val="clear" w:pos="720"/>
                <w:tab w:val="left" w:pos="1872" w:leader="none"/>
              </w:tabs>
              <w:rPr/>
            </w:pPr>
            <w:r>
              <w:rPr/>
              <w:t>A.96-08-043</w:t>
            </w:r>
          </w:p>
          <w:p>
            <w:pPr>
              <w:pStyle w:val="Normal"/>
              <w:tabs>
                <w:tab w:val="clear" w:pos="720"/>
                <w:tab w:val="left" w:pos="1872" w:leader="none"/>
              </w:tabs>
              <w:rPr/>
            </w:pPr>
            <w:r>
              <w:rPr/>
              <w:t>R.90-02-008</w:t>
            </w:r>
          </w:p>
          <w:p>
            <w:pPr>
              <w:pStyle w:val="Normal"/>
              <w:tabs>
                <w:tab w:val="clear" w:pos="720"/>
                <w:tab w:val="left" w:pos="1872" w:leader="none"/>
              </w:tabs>
              <w:rPr/>
            </w:pPr>
            <w:r>
              <w:rPr/>
              <w:t>R.88-08-018</w:t>
            </w:r>
          </w:p>
          <w:p>
            <w:pPr>
              <w:pStyle w:val="Normal"/>
              <w:tabs>
                <w:tab w:val="clear" w:pos="720"/>
                <w:tab w:val="left" w:pos="1872" w:leader="none"/>
              </w:tabs>
              <w:rPr/>
            </w:pPr>
            <w:r>
              <w:rPr/>
              <w:t>R.92-12-016</w:t>
            </w:r>
          </w:p>
          <w:p>
            <w:pPr>
              <w:pStyle w:val="Normal"/>
              <w:tabs>
                <w:tab w:val="clear" w:pos="720"/>
                <w:tab w:val="left" w:pos="1872" w:leader="none"/>
              </w:tabs>
              <w:rPr/>
            </w:pPr>
            <w:r>
              <w:rPr/>
              <w:t>I.92-12-017</w:t>
            </w:r>
          </w:p>
          <w:p>
            <w:pPr>
              <w:pStyle w:val="Normal"/>
              <w:tabs>
                <w:tab w:val="clear" w:pos="720"/>
                <w:tab w:val="left" w:pos="1872" w:leader="none"/>
              </w:tabs>
              <w:rPr/>
            </w:pPr>
            <w:r>
              <w:rPr/>
              <w:t>A.92-07-049</w:t>
            </w:r>
          </w:p>
          <w:p>
            <w:pPr>
              <w:pStyle w:val="Normal"/>
              <w:tabs>
                <w:tab w:val="clear" w:pos="720"/>
                <w:tab w:val="left" w:pos="1872" w:leader="none"/>
              </w:tabs>
              <w:rPr/>
            </w:pPr>
            <w:r>
              <w:rPr/>
              <w:t>A.95-02-008</w:t>
            </w:r>
          </w:p>
          <w:p>
            <w:pPr>
              <w:pStyle w:val="Normal"/>
              <w:tabs>
                <w:tab w:val="clear" w:pos="720"/>
                <w:tab w:val="left" w:pos="1872" w:leader="none"/>
              </w:tabs>
              <w:rPr/>
            </w:pPr>
            <w:r>
              <w:rPr/>
              <w:t>A.95-02-010</w:t>
            </w:r>
          </w:p>
          <w:p>
            <w:pPr>
              <w:pStyle w:val="Normal"/>
              <w:tabs>
                <w:tab w:val="clear" w:pos="720"/>
                <w:tab w:val="left" w:pos="1872" w:leader="none"/>
              </w:tabs>
              <w:rPr/>
            </w:pPr>
            <w:r>
              <w:rPr/>
              <w:t>A.94-11-015</w:t>
            </w:r>
          </w:p>
          <w:p>
            <w:pPr>
              <w:pStyle w:val="Normal"/>
              <w:tabs>
                <w:tab w:val="clear" w:pos="720"/>
                <w:tab w:val="left" w:pos="1872" w:leader="none"/>
              </w:tabs>
              <w:rPr/>
            </w:pPr>
            <w:r>
              <w:rPr/>
              <w:t>A.93-04-011</w:t>
            </w:r>
          </w:p>
          <w:p>
            <w:pPr>
              <w:pStyle w:val="Normal"/>
              <w:tabs>
                <w:tab w:val="clear" w:pos="720"/>
                <w:tab w:val="left" w:pos="1872" w:leader="none"/>
              </w:tabs>
              <w:rPr/>
            </w:pPr>
            <w:r>
              <w:rPr/>
              <w:t>A.94-04-002</w:t>
            </w:r>
          </w:p>
          <w:p>
            <w:pPr>
              <w:pStyle w:val="Normal"/>
              <w:tabs>
                <w:tab w:val="clear" w:pos="720"/>
                <w:tab w:val="left" w:pos="1872" w:leader="none"/>
              </w:tabs>
              <w:rPr/>
            </w:pPr>
            <w:r>
              <w:rPr/>
              <w:t>A.05-04-002</w:t>
            </w:r>
          </w:p>
          <w:p>
            <w:pPr>
              <w:pStyle w:val="Normal"/>
              <w:tabs>
                <w:tab w:val="clear" w:pos="720"/>
                <w:tab w:val="left" w:pos="1872" w:leader="none"/>
              </w:tabs>
              <w:rPr/>
            </w:pPr>
            <w:r>
              <w:rPr/>
              <w:t>A.96-04-001</w:t>
            </w:r>
          </w:p>
          <w:p>
            <w:pPr>
              <w:pStyle w:val="Normal"/>
              <w:tabs>
                <w:tab w:val="clear" w:pos="720"/>
                <w:tab w:val="left" w:pos="1872" w:leader="none"/>
              </w:tabs>
              <w:rPr/>
            </w:pPr>
            <w:r>
              <w:rPr/>
              <w:t>A.94-12-039</w:t>
            </w:r>
          </w:p>
        </w:tc>
      </w:tr>
    </w:tbl>
    <w:p>
      <w:pPr>
        <w:pStyle w:val="Normal"/>
        <w:rPr/>
      </w:pPr>
      <w:r>
        <w:rPr/>
      </w:r>
    </w:p>
    <w:p>
      <w:pPr>
        <w:pStyle w:val="Normal"/>
        <w:numPr>
          <w:ilvl w:val="0"/>
          <w:numId w:val="0"/>
        </w:numPr>
        <w:jc w:val="center"/>
        <w:outlineLvl w:val="0"/>
        <w:rPr>
          <w:b/>
        </w:rPr>
      </w:pPr>
      <w:r>
        <w:rPr>
          <w:b/>
        </w:rPr>
        <w:t>RESPONSE OF ENRON NORTH AMERICA CORP.</w:t>
      </w:r>
    </w:p>
    <w:p>
      <w:pPr>
        <w:pStyle w:val="Normal"/>
        <w:numPr>
          <w:ilvl w:val="0"/>
          <w:numId w:val="0"/>
        </w:numPr>
        <w:jc w:val="center"/>
        <w:outlineLvl w:val="0"/>
        <w:rPr>
          <w:b/>
        </w:rPr>
      </w:pPr>
      <w:r>
        <w:rPr>
          <w:b/>
        </w:rPr>
        <w:t>AND ENRON ENERGY SERVICES, INC.</w:t>
      </w:r>
    </w:p>
    <w:p>
      <w:pPr>
        <w:pStyle w:val="Normal"/>
        <w:numPr>
          <w:ilvl w:val="0"/>
          <w:numId w:val="0"/>
        </w:numPr>
        <w:jc w:val="center"/>
        <w:outlineLvl w:val="0"/>
        <w:rPr>
          <w:b/>
        </w:rPr>
      </w:pPr>
      <w:r>
        <w:rPr>
          <w:b/>
        </w:rPr>
        <w:t>IN OPPOSITION TO THE EMERGENCY PETITION</w:t>
      </w:r>
    </w:p>
    <w:p>
      <w:pPr>
        <w:pStyle w:val="Normal"/>
        <w:numPr>
          <w:ilvl w:val="0"/>
          <w:numId w:val="0"/>
        </w:numPr>
        <w:jc w:val="center"/>
        <w:outlineLvl w:val="0"/>
        <w:rPr>
          <w:b/>
        </w:rPr>
      </w:pPr>
      <w:r>
        <w:rPr>
          <w:b/>
        </w:rPr>
        <w:t>OF ORA AND TURN</w:t>
      </w:r>
    </w:p>
    <w:p>
      <w:pPr>
        <w:pStyle w:val="Normal"/>
        <w:jc w:val="center"/>
        <w:rPr>
          <w:b/>
        </w:rPr>
      </w:pPr>
      <w:r>
        <w:rPr>
          <w:b/>
        </w:rPr>
      </w:r>
    </w:p>
    <w:tbl>
      <w:tblPr>
        <w:tblW w:w="10170" w:type="dxa"/>
        <w:jc w:val="start"/>
        <w:tblInd w:w="0" w:type="dxa"/>
        <w:tblLayout w:type="fixed"/>
        <w:tblCellMar>
          <w:top w:w="0" w:type="dxa"/>
          <w:start w:w="0" w:type="dxa"/>
          <w:bottom w:w="0" w:type="dxa"/>
          <w:end w:w="0" w:type="dxa"/>
        </w:tblCellMar>
      </w:tblPr>
      <w:tblGrid>
        <w:gridCol w:w="5130"/>
        <w:gridCol w:w="5040"/>
      </w:tblGrid>
      <w:tr>
        <w:trPr/>
        <w:tc>
          <w:tcPr>
            <w:tcW w:w="5130" w:type="dxa"/>
            <w:tcBorders/>
            <w:vAlign w:val="bottom"/>
          </w:tcPr>
          <w:p>
            <w:pPr>
              <w:pStyle w:val="Normal"/>
              <w:spacing w:before="120" w:after="0"/>
              <w:rPr/>
            </w:pPr>
            <w:r>
              <w:rPr/>
              <w:t>Date:  January 26, 2001</w:t>
            </w:r>
          </w:p>
        </w:tc>
        <w:tc>
          <w:tcPr>
            <w:tcW w:w="5040" w:type="dxa"/>
            <w:tcBorders/>
            <w:vAlign w:val="bottom"/>
          </w:tcPr>
          <w:p>
            <w:pPr>
              <w:pStyle w:val="Normal"/>
              <w:rPr/>
            </w:pPr>
            <w:r>
              <w:rPr/>
              <w:t>GOODIN, MACBRIDE, SQUERI,</w:t>
              <w:br/>
              <w:t>RITCHIE &amp; DAY, LLP</w:t>
            </w:r>
          </w:p>
          <w:p>
            <w:pPr>
              <w:pStyle w:val="Normal"/>
              <w:rPr/>
            </w:pPr>
            <w:r>
              <w:rPr/>
              <w:t>Michael B. Day</w:t>
            </w:r>
          </w:p>
          <w:p>
            <w:pPr>
              <w:pStyle w:val="Normal"/>
              <w:rPr/>
            </w:pPr>
            <w:r>
              <w:rPr/>
              <w:t>505 Sansome Street, Suite 900</w:t>
              <w:br/>
              <w:t>San Francisco, CA  94111</w:t>
              <w:br/>
              <w:t>Telephone:</w:t>
              <w:tab/>
              <w:t>(415) 392-7900</w:t>
              <w:br/>
              <w:t>Facsimile:</w:t>
              <w:tab/>
              <w:t>(415) 398-4321</w:t>
            </w:r>
          </w:p>
          <w:p>
            <w:pPr>
              <w:pStyle w:val="Normal"/>
              <w:spacing w:before="240" w:after="0"/>
              <w:rPr/>
            </w:pPr>
            <w:r>
              <w:rPr/>
              <w:t>Attorneys for Enron North America Corp. and Enron Energy Services, Inc.</w:t>
              <w:br/>
            </w:r>
          </w:p>
        </w:tc>
      </w:tr>
    </w:tbl>
    <w:p>
      <w:pPr>
        <w:sectPr>
          <w:headerReference w:type="default" r:id="rId2"/>
          <w:headerReference w:type="first" r:id="rId3"/>
          <w:footerReference w:type="default" r:id="rId4"/>
          <w:footerReference w:type="first" r:id="rId5"/>
          <w:type w:val="nextPage"/>
          <w:pgSz w:w="12240" w:h="15840"/>
          <w:pgMar w:left="1440" w:right="1440" w:gutter="0" w:header="432" w:top="1440" w:footer="360" w:bottom="1440"/>
          <w:pgNumType w:fmt="decimal"/>
          <w:formProt w:val="false"/>
          <w:titlePg/>
          <w:textDirection w:val="lrTb"/>
          <w:docGrid w:type="default" w:linePitch="360" w:charSpace="0"/>
        </w:sectPr>
      </w:pPr>
    </w:p>
    <w:p>
      <w:pPr>
        <w:pStyle w:val="Normal"/>
        <w:spacing w:lineRule="exact" w:line="480" w:before="0" w:after="720"/>
        <w:jc w:val="center"/>
        <w:rPr/>
      </w:pPr>
      <w:r>
        <w:rPr/>
        <w:t>BEFORE THE PUBLIC UTILITIES COMMISSION</w:t>
        <w:br/>
        <w:t>OF THE STATE OF CALIFORNIA</w:t>
      </w:r>
    </w:p>
    <w:tbl>
      <w:tblPr>
        <w:tblW w:w="9072" w:type="dxa"/>
        <w:jc w:val="start"/>
        <w:tblInd w:w="0" w:type="dxa"/>
        <w:tblLayout w:type="fixed"/>
        <w:tblCellMar>
          <w:top w:w="0" w:type="dxa"/>
          <w:start w:w="108" w:type="dxa"/>
          <w:bottom w:w="0" w:type="dxa"/>
          <w:end w:w="108" w:type="dxa"/>
        </w:tblCellMar>
      </w:tblPr>
      <w:tblGrid>
        <w:gridCol w:w="5688"/>
        <w:gridCol w:w="3384"/>
      </w:tblGrid>
      <w:tr>
        <w:trPr/>
        <w:tc>
          <w:tcPr>
            <w:tcW w:w="5688" w:type="dxa"/>
            <w:tcBorders>
              <w:end w:val="single" w:sz="6" w:space="0" w:color="000000"/>
            </w:tcBorders>
          </w:tcPr>
          <w:p>
            <w:pPr>
              <w:pStyle w:val="Normal"/>
              <w:spacing w:before="0" w:after="240"/>
              <w:rPr/>
            </w:pPr>
            <w:r>
              <w:rPr/>
              <w:t>Application of PACIFIC GAS &amp; ELECTRIC COMPANY for an Order Pursuant to Section 1005.5(b) of the Public Utilities Code to Increase the Maximum Cost Specified in PG&amp;E’s Certificate of Public Convenience and Necessity to Construct the California Portion of the Expansion of its Natural Gas Pipeline.</w:t>
            </w:r>
          </w:p>
          <w:p>
            <w:pPr>
              <w:pStyle w:val="Normal"/>
              <w:rPr/>
            </w:pPr>
            <w:r>
              <w:rPr/>
            </w:r>
          </w:p>
        </w:tc>
        <w:tc>
          <w:tcPr>
            <w:tcW w:w="3384" w:type="dxa"/>
            <w:tcBorders/>
          </w:tcPr>
          <w:p>
            <w:pPr>
              <w:pStyle w:val="Normal"/>
              <w:tabs>
                <w:tab w:val="clear" w:pos="720"/>
                <w:tab w:val="left" w:pos="1872" w:leader="none"/>
              </w:tabs>
              <w:snapToGrid w:val="false"/>
              <w:jc w:val="center"/>
              <w:rPr/>
            </w:pPr>
            <w:r>
              <w:rPr/>
            </w:r>
          </w:p>
          <w:p>
            <w:pPr>
              <w:pStyle w:val="Normal"/>
              <w:tabs>
                <w:tab w:val="clear" w:pos="720"/>
                <w:tab w:val="left" w:pos="1872" w:leader="none"/>
              </w:tabs>
              <w:rPr/>
            </w:pPr>
            <w:r>
              <w:rPr/>
              <w:t>A.92-12-043</w:t>
            </w:r>
          </w:p>
          <w:p>
            <w:pPr>
              <w:pStyle w:val="Normal"/>
              <w:tabs>
                <w:tab w:val="clear" w:pos="720"/>
                <w:tab w:val="left" w:pos="1872" w:leader="none"/>
              </w:tabs>
              <w:rPr/>
            </w:pPr>
            <w:r>
              <w:rPr/>
              <w:t>A.93-03-038</w:t>
            </w:r>
          </w:p>
          <w:p>
            <w:pPr>
              <w:pStyle w:val="Normal"/>
              <w:tabs>
                <w:tab w:val="clear" w:pos="720"/>
                <w:tab w:val="left" w:pos="1872" w:leader="none"/>
              </w:tabs>
              <w:rPr/>
            </w:pPr>
            <w:r>
              <w:rPr/>
              <w:t>A.94-05-035</w:t>
            </w:r>
          </w:p>
          <w:p>
            <w:pPr>
              <w:pStyle w:val="Normal"/>
              <w:tabs>
                <w:tab w:val="clear" w:pos="720"/>
                <w:tab w:val="left" w:pos="1872" w:leader="none"/>
              </w:tabs>
              <w:rPr/>
            </w:pPr>
            <w:r>
              <w:rPr/>
              <w:t>A.94-06-034</w:t>
            </w:r>
          </w:p>
          <w:p>
            <w:pPr>
              <w:pStyle w:val="Normal"/>
              <w:tabs>
                <w:tab w:val="clear" w:pos="720"/>
                <w:tab w:val="left" w:pos="1872" w:leader="none"/>
              </w:tabs>
              <w:rPr/>
            </w:pPr>
            <w:r>
              <w:rPr/>
              <w:t>A.94-09-056</w:t>
            </w:r>
          </w:p>
          <w:p>
            <w:pPr>
              <w:pStyle w:val="Normal"/>
              <w:tabs>
                <w:tab w:val="clear" w:pos="720"/>
                <w:tab w:val="left" w:pos="1872" w:leader="none"/>
              </w:tabs>
              <w:rPr/>
            </w:pPr>
            <w:r>
              <w:rPr/>
              <w:t>A.94-06-044</w:t>
            </w:r>
          </w:p>
          <w:p>
            <w:pPr>
              <w:pStyle w:val="Normal"/>
              <w:tabs>
                <w:tab w:val="clear" w:pos="720"/>
                <w:tab w:val="left" w:pos="1872" w:leader="none"/>
              </w:tabs>
              <w:rPr/>
            </w:pPr>
            <w:r>
              <w:rPr/>
            </w:r>
          </w:p>
        </w:tc>
      </w:tr>
      <w:tr>
        <w:trPr/>
        <w:tc>
          <w:tcPr>
            <w:tcW w:w="5688" w:type="dxa"/>
            <w:tcBorders>
              <w:end w:val="single" w:sz="6" w:space="0" w:color="000000"/>
            </w:tcBorders>
          </w:tcPr>
          <w:p>
            <w:pPr>
              <w:pStyle w:val="Normal"/>
              <w:snapToGrid w:val="false"/>
              <w:spacing w:before="0" w:after="240"/>
              <w:rPr/>
            </w:pPr>
            <w:r>
              <w:rPr/>
            </w:r>
          </w:p>
          <w:p>
            <w:pPr>
              <w:pStyle w:val="Normal"/>
              <w:spacing w:before="0" w:after="240"/>
              <w:rPr/>
            </w:pPr>
            <w:r>
              <w:rPr/>
              <w:t>And Related Matters</w:t>
            </w:r>
          </w:p>
          <w:p>
            <w:pPr>
              <w:pStyle w:val="Normal"/>
              <w:spacing w:before="0" w:after="240"/>
              <w:rPr/>
            </w:pPr>
            <w:r>
              <w:rPr/>
            </w:r>
          </w:p>
        </w:tc>
        <w:tc>
          <w:tcPr>
            <w:tcW w:w="3384" w:type="dxa"/>
            <w:tcBorders/>
          </w:tcPr>
          <w:p>
            <w:pPr>
              <w:pStyle w:val="Normal"/>
              <w:tabs>
                <w:tab w:val="clear" w:pos="720"/>
                <w:tab w:val="left" w:pos="1872" w:leader="none"/>
              </w:tabs>
              <w:rPr/>
            </w:pPr>
            <w:r>
              <w:rPr/>
              <w:t>A.96-08-043</w:t>
            </w:r>
          </w:p>
          <w:p>
            <w:pPr>
              <w:pStyle w:val="Normal"/>
              <w:tabs>
                <w:tab w:val="clear" w:pos="720"/>
                <w:tab w:val="left" w:pos="1872" w:leader="none"/>
              </w:tabs>
              <w:rPr/>
            </w:pPr>
            <w:r>
              <w:rPr/>
              <w:t>R.90-02-008</w:t>
            </w:r>
          </w:p>
          <w:p>
            <w:pPr>
              <w:pStyle w:val="Normal"/>
              <w:tabs>
                <w:tab w:val="clear" w:pos="720"/>
                <w:tab w:val="left" w:pos="1872" w:leader="none"/>
              </w:tabs>
              <w:rPr/>
            </w:pPr>
            <w:r>
              <w:rPr/>
              <w:t>R.88-08-018</w:t>
            </w:r>
          </w:p>
          <w:p>
            <w:pPr>
              <w:pStyle w:val="Normal"/>
              <w:tabs>
                <w:tab w:val="clear" w:pos="720"/>
                <w:tab w:val="left" w:pos="1872" w:leader="none"/>
              </w:tabs>
              <w:rPr/>
            </w:pPr>
            <w:r>
              <w:rPr/>
              <w:t>R.92-12-016</w:t>
            </w:r>
          </w:p>
          <w:p>
            <w:pPr>
              <w:pStyle w:val="Normal"/>
              <w:tabs>
                <w:tab w:val="clear" w:pos="720"/>
                <w:tab w:val="left" w:pos="1872" w:leader="none"/>
              </w:tabs>
              <w:rPr/>
            </w:pPr>
            <w:r>
              <w:rPr/>
              <w:t>I.92-12-017</w:t>
            </w:r>
          </w:p>
          <w:p>
            <w:pPr>
              <w:pStyle w:val="Normal"/>
              <w:tabs>
                <w:tab w:val="clear" w:pos="720"/>
                <w:tab w:val="left" w:pos="1872" w:leader="none"/>
              </w:tabs>
              <w:rPr/>
            </w:pPr>
            <w:r>
              <w:rPr/>
              <w:t>A.92-07-049</w:t>
            </w:r>
          </w:p>
          <w:p>
            <w:pPr>
              <w:pStyle w:val="Normal"/>
              <w:tabs>
                <w:tab w:val="clear" w:pos="720"/>
                <w:tab w:val="left" w:pos="1872" w:leader="none"/>
              </w:tabs>
              <w:rPr/>
            </w:pPr>
            <w:r>
              <w:rPr/>
              <w:t>A.95-02-008</w:t>
            </w:r>
          </w:p>
          <w:p>
            <w:pPr>
              <w:pStyle w:val="Normal"/>
              <w:tabs>
                <w:tab w:val="clear" w:pos="720"/>
                <w:tab w:val="left" w:pos="1872" w:leader="none"/>
              </w:tabs>
              <w:rPr/>
            </w:pPr>
            <w:r>
              <w:rPr/>
              <w:t>A.95-02-010</w:t>
            </w:r>
          </w:p>
          <w:p>
            <w:pPr>
              <w:pStyle w:val="Normal"/>
              <w:tabs>
                <w:tab w:val="clear" w:pos="720"/>
                <w:tab w:val="left" w:pos="1872" w:leader="none"/>
              </w:tabs>
              <w:rPr/>
            </w:pPr>
            <w:r>
              <w:rPr/>
              <w:t>A.94-11-015</w:t>
            </w:r>
          </w:p>
          <w:p>
            <w:pPr>
              <w:pStyle w:val="Normal"/>
              <w:tabs>
                <w:tab w:val="clear" w:pos="720"/>
                <w:tab w:val="left" w:pos="1872" w:leader="none"/>
              </w:tabs>
              <w:rPr/>
            </w:pPr>
            <w:r>
              <w:rPr/>
              <w:t>A.93-04-011</w:t>
            </w:r>
          </w:p>
          <w:p>
            <w:pPr>
              <w:pStyle w:val="Normal"/>
              <w:tabs>
                <w:tab w:val="clear" w:pos="720"/>
                <w:tab w:val="left" w:pos="1872" w:leader="none"/>
              </w:tabs>
              <w:rPr/>
            </w:pPr>
            <w:r>
              <w:rPr/>
              <w:t>A.94-04-002</w:t>
            </w:r>
          </w:p>
          <w:p>
            <w:pPr>
              <w:pStyle w:val="Normal"/>
              <w:tabs>
                <w:tab w:val="clear" w:pos="720"/>
                <w:tab w:val="left" w:pos="1872" w:leader="none"/>
              </w:tabs>
              <w:rPr/>
            </w:pPr>
            <w:r>
              <w:rPr/>
              <w:t>A.05-04-002</w:t>
            </w:r>
          </w:p>
          <w:p>
            <w:pPr>
              <w:pStyle w:val="Normal"/>
              <w:tabs>
                <w:tab w:val="clear" w:pos="720"/>
                <w:tab w:val="left" w:pos="1872" w:leader="none"/>
              </w:tabs>
              <w:rPr/>
            </w:pPr>
            <w:r>
              <w:rPr/>
              <w:t>A.96-04-001</w:t>
            </w:r>
          </w:p>
          <w:p>
            <w:pPr>
              <w:pStyle w:val="Normal"/>
              <w:tabs>
                <w:tab w:val="clear" w:pos="720"/>
                <w:tab w:val="left" w:pos="1872" w:leader="none"/>
              </w:tabs>
              <w:rPr/>
            </w:pPr>
            <w:r>
              <w:rPr/>
              <w:t>A.94-12-039</w:t>
            </w:r>
          </w:p>
        </w:tc>
      </w:tr>
    </w:tbl>
    <w:p>
      <w:pPr>
        <w:pStyle w:val="Normal"/>
        <w:rPr/>
      </w:pPr>
      <w:r>
        <w:rPr/>
      </w:r>
    </w:p>
    <w:p>
      <w:pPr>
        <w:pStyle w:val="Normal"/>
        <w:numPr>
          <w:ilvl w:val="0"/>
          <w:numId w:val="0"/>
        </w:numPr>
        <w:jc w:val="center"/>
        <w:outlineLvl w:val="0"/>
        <w:rPr>
          <w:b/>
        </w:rPr>
      </w:pPr>
      <w:r>
        <w:rPr>
          <w:b/>
        </w:rPr>
        <w:t>RESPONSE OF ENRON NORTH AMERICA CORP.</w:t>
      </w:r>
    </w:p>
    <w:p>
      <w:pPr>
        <w:pStyle w:val="Normal"/>
        <w:jc w:val="center"/>
        <w:rPr>
          <w:b/>
        </w:rPr>
      </w:pPr>
      <w:r>
        <w:rPr>
          <w:b/>
        </w:rPr>
        <w:t>AND ENRON ENERGY SERVICES, INC.</w:t>
      </w:r>
    </w:p>
    <w:p>
      <w:pPr>
        <w:pStyle w:val="Normal"/>
        <w:jc w:val="center"/>
        <w:rPr>
          <w:b/>
        </w:rPr>
      </w:pPr>
      <w:r>
        <w:rPr>
          <w:b/>
        </w:rPr>
        <w:t>IN OPPOSITION TO THE EMERGENCY PETITION</w:t>
      </w:r>
    </w:p>
    <w:p>
      <w:pPr>
        <w:pStyle w:val="Normal"/>
        <w:jc w:val="center"/>
        <w:rPr>
          <w:b/>
        </w:rPr>
      </w:pPr>
      <w:r>
        <w:rPr>
          <w:b/>
        </w:rPr>
        <w:t>OF ORA AND TURN</w:t>
      </w:r>
    </w:p>
    <w:p>
      <w:pPr>
        <w:pStyle w:val="Normal"/>
        <w:rPr>
          <w:b/>
        </w:rPr>
      </w:pPr>
      <w:r>
        <w:rPr>
          <w:b/>
        </w:rPr>
      </w:r>
    </w:p>
    <w:p>
      <w:pPr>
        <w:pStyle w:val="BodyText"/>
        <w:rPr/>
      </w:pPr>
      <w:r>
        <w:rPr/>
      </w:r>
    </w:p>
    <w:p>
      <w:pPr>
        <w:pStyle w:val="BodyText"/>
        <w:rPr/>
      </w:pPr>
      <w:r>
        <w:rPr/>
        <w:t xml:space="preserve">Pursuant to Rule 47 of the Rules of Practice and Procedure of the Public Utilities Commission of the State of California (“Commission”), Enron North America Corp. and Enron Energy Services, Inc. (collectively, “Enron”) herewith submit Enron’s response in opposition to the Emergency Petition of ORA and TURN for Modification of D.97-08-055 and Resolution G-3288.  Enron opposes the ORA and TURN petition on two primary grounds.  </w:t>
      </w:r>
    </w:p>
    <w:p>
      <w:pPr>
        <w:pStyle w:val="BodyText"/>
        <w:rPr/>
      </w:pPr>
      <w:r>
        <w:rPr/>
        <w:t>Enron’s first objection is that it is unwise public policy to make changes in carefully crafted tariffs designed to accommodate system supply shortages and related emergency situations without carefully considering the impact on all customer classes.  The Emergency Flow Order (EFO) and Operational Flow Order (OFO) provisions of the PG&amp;E Gas Tariff, as well as the procedures for implementing gas diversions from non-core shippers to serve core customers and compensating the non-core customers, have been carefully thought out and adopted over an extended period of time.  All customer classes and all segments of the industry have had input into these rules, and they generally comport with similar rules throughout the utility industry.   Enron believes it would be unwise to follow the suggestion of ORA and TURN and quickly make substantial modifications in these rules without allowing parties a fair opportunity to address the consequences of such changes.</w:t>
      </w:r>
    </w:p>
    <w:p>
      <w:pPr>
        <w:pStyle w:val="BodyText"/>
        <w:rPr/>
      </w:pPr>
      <w:r>
        <w:rPr/>
        <w:t xml:space="preserve">Enron’s second objection to the ORA/TURN petition represents just one example  of  the possible adverse consequences of a precipitous change in the diversion rules—specifically, a reduction in the diversion penalties could leave non-core shippers at risk for substantial out-of-pocket costs caused by the diversion, while providing the utility with a perverse incentive to divert more and more gas.  </w:t>
      </w:r>
    </w:p>
    <w:p>
      <w:pPr>
        <w:pStyle w:val="BodyText"/>
        <w:rPr/>
      </w:pPr>
      <w:r>
        <w:rPr/>
        <w:t>The provisions of the PG&amp;E tariff require the core to pay a $50/Dth diversion credit when non-core gas is diverted to core use.  ORA and TURN seek to have this credit reduced to the “current market price of gas” up to a cap of $50/Dth.  This change could impose substantial losses on non-core customers.  When a non-core customer’s gas is diverted, that customer’s out of pocket loss is not merely the cost of gas.  That customer very likely paid interstate transmission rates to move the gas to the California border, and possibly other costs, such as storage withdrawal charges.  In addition,  if the diversion caused the non-core customer’s operations to be curtailed or shut-down the customer has incurred substantial consequential damages as well.  Compensation for the mere commodity price of the gas does not begin to cover these other potential losses in the same way as the existing $50/Dth credit.</w:t>
      </w:r>
    </w:p>
    <w:p>
      <w:pPr>
        <w:pStyle w:val="BodyText"/>
        <w:rPr/>
      </w:pPr>
      <w:r>
        <w:rPr/>
        <w:t xml:space="preserve">At the same time, reducing the diversion credit could induce the PG&amp;E core procurement department to rely more heavily on diversions as opposed to trying other means to improve PG&amp;E’s ability to purchase gas on its own account.  While the Commission and the other parties to these proceedings are only too aware of the credit problems of PG&amp;E, it is incumbent upon PG&amp;E to use its utmost efforts to return to a creditworthy status which would allow it to purchase gas for the core.  The Commission should not provide an incentive for PG&amp;E to rely on other customers’ ability to purchase gas and routinely divert it to core customers.  </w:t>
      </w:r>
    </w:p>
    <w:p>
      <w:pPr>
        <w:pStyle w:val="BodyText"/>
        <w:rPr/>
      </w:pPr>
      <w:r>
        <w:rPr/>
        <w:t>The diversion rules and the relative size and amount of the diversion credit were formulated to discourage diversion and to attempt to compensate non-core customers for the substantial costs and disruptions caused by diversion.  Enron recommends that the Commission not disturb the diversion credit on the basis of an emergency petition.   While ORA and TURN ask the Commission to act immediately under the provisions of Rule 81(f) of the Commission’s Rules of Practice and Procedure, it is not clear that ORA and TURN have established that “time is of the essence” in this situation.  If PG&amp;E truly needs to divert noncore gas to serve core customers, the existing rules remain in place to permit that diversion and handle the associated costs.  ORA and TURN are seeking to minimize the financial consequences of diversion on core customers, while shifting more of the costs and consequences of diversion to non-core customers.  Enron believes that the Commission should undertake an examination of this issue with adequate opportunity for the affected non-core customers to be heard, rather than acting hastily on the basis of an emergency petition which is unsupported by any factual evidence in the form of affidavits, declarations or testimony.  There is no showing in the ORA/TURN petition that the existing diversion system cannot continue to be used for the short term.  The relative balance of the costs of diversion between core and noncore customers can be evaluated by the Commission after due consideration, and changed if changes are warranted, but an abrupt change in the diversion rules would not appear to be necessary at this time.  PG&amp;E can continue to physically divert gas if necessary, but Enron does not support lessening the financial disincentive to divert gas without more substantial justification than that provided in the ORA/TURN petition.</w:t>
      </w:r>
    </w:p>
    <w:p>
      <w:pPr>
        <w:pStyle w:val="BodyText"/>
        <w:keepNext w:val="true"/>
        <w:rPr/>
      </w:pPr>
      <w:r>
        <w:rPr/>
        <w:t>Respectfully submitted this January 26, 2001 at San Francisco, California.</w:t>
      </w:r>
    </w:p>
    <w:p>
      <w:pPr>
        <w:pStyle w:val="PleadingSignature"/>
        <w:spacing w:before="240" w:after="0"/>
        <w:rPr/>
      </w:pPr>
      <w:r>
        <w:rPr/>
        <w:t>GOODIN, MACBRIDE, SQUERI,</w:t>
        <w:br/>
        <w:t>RITCHIE &amp; DAY, LLP</w:t>
      </w:r>
    </w:p>
    <w:p>
      <w:pPr>
        <w:pStyle w:val="PleadingSignature"/>
        <w:rPr/>
      </w:pPr>
      <w:r>
        <w:rPr/>
        <w:t>Michael B. Day</w:t>
      </w:r>
    </w:p>
    <w:p>
      <w:pPr>
        <w:pStyle w:val="PleadingSignature"/>
        <w:tabs>
          <w:tab w:val="left" w:pos="5126" w:leader="none"/>
          <w:tab w:val="left" w:pos="6480" w:leader="none"/>
          <w:tab w:val="right" w:pos="9360" w:leader="none"/>
        </w:tabs>
        <w:rPr/>
      </w:pPr>
      <w:r>
        <w:rPr/>
        <w:t>505 Sansome Street, Suite 900</w:t>
        <w:br/>
        <w:t>San Francisco, California  94111</w:t>
        <w:br/>
        <w:t>Telephone:</w:t>
        <w:tab/>
        <w:t>(415) 392-7900</w:t>
        <w:br/>
        <w:t>Facsimile:</w:t>
        <w:tab/>
        <w:t>(415) 398-4321</w:t>
      </w:r>
    </w:p>
    <w:p>
      <w:pPr>
        <w:pStyle w:val="PleadingSignature"/>
        <w:spacing w:before="720" w:after="0"/>
        <w:rPr/>
      </w:pPr>
      <w:r>
        <w:rPr/>
        <w:t>By</w:t>
      </w:r>
    </w:p>
    <w:p>
      <w:pPr>
        <w:pStyle w:val="PleadingSignature"/>
        <w:pBdr>
          <w:top w:val="single" w:sz="4" w:space="1" w:color="000000"/>
        </w:pBdr>
        <w:tabs>
          <w:tab w:val="left" w:pos="5126" w:leader="none"/>
          <w:tab w:val="left" w:pos="5846" w:leader="none"/>
          <w:tab w:val="right" w:pos="9360" w:leader="none"/>
        </w:tabs>
        <w:ind w:start="5486" w:end="120"/>
        <w:rPr/>
      </w:pPr>
      <w:r>
        <w:rPr/>
        <w:tab/>
        <w:t>Michael B. Day</w:t>
      </w:r>
    </w:p>
    <w:p>
      <w:pPr>
        <w:pStyle w:val="PleadingSignature"/>
        <w:spacing w:before="240" w:after="0"/>
        <w:ind w:end="120"/>
        <w:rPr/>
      </w:pPr>
      <w:r>
        <w:rPr/>
        <w:t xml:space="preserve">Attorneys for Enron North America Corp., Enron Energy Services, Inc. </w:t>
      </w:r>
    </w:p>
    <w:p>
      <w:pPr>
        <w:pStyle w:val="Normal"/>
        <w:rPr/>
      </w:pPr>
      <w:r>
        <w:rPr/>
      </w:r>
    </w:p>
    <w:p>
      <w:pPr>
        <w:pStyle w:val="Normal"/>
        <w:spacing w:lineRule="exact" w:line="200" w:before="240" w:after="0"/>
        <w:rPr/>
      </w:pPr>
      <w:r>
        <w:rPr>
          <w:rStyle w:val="zzmpTrailerItem"/>
        </w:rPr>
        <w:t>2704/009/X20292-1</w:t>
      </w:r>
      <w:r>
        <w:rPr/>
        <w:t xml:space="preserve"> </w:t>
      </w:r>
    </w:p>
    <w:sectPr>
      <w:headerReference w:type="default" r:id="rId6"/>
      <w:headerReference w:type="first" r:id="rId7"/>
      <w:footerReference w:type="default" r:id="rId8"/>
      <w:footerReference w:type="first" r:id="rId9"/>
      <w:type w:val="nextPage"/>
      <w:pgSz w:w="12240" w:h="15840"/>
      <w:pgMar w:left="1440" w:right="1440" w:gutter="0" w:header="432" w:top="1440" w:footer="36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40" w:type="dxa"/>
      <w:jc w:val="start"/>
      <w:tblInd w:w="0" w:type="dxa"/>
      <w:tblLayout w:type="fixed"/>
      <w:tblCellMar>
        <w:top w:w="0" w:type="dxa"/>
        <w:start w:w="0" w:type="dxa"/>
        <w:bottom w:w="0" w:type="dxa"/>
        <w:end w:w="0" w:type="dxa"/>
      </w:tblCellMar>
    </w:tblPr>
    <w:tblGrid>
      <w:gridCol w:w="4265"/>
      <w:gridCol w:w="810"/>
      <w:gridCol w:w="4265"/>
    </w:tblGrid>
    <w:tr>
      <w:trPr/>
      <w:tc>
        <w:tcPr>
          <w:tcW w:w="4265" w:type="dxa"/>
          <w:tcBorders/>
        </w:tcPr>
        <w:p>
          <w:pPr>
            <w:pStyle w:val="Footer"/>
            <w:snapToGrid w:val="false"/>
            <w:ind w:start="-86" w:end="0"/>
            <w:rPr/>
          </w:pPr>
          <w:r>
            <w:rPr/>
          </w:r>
        </w:p>
      </w:tc>
      <w:tc>
        <w:tcPr>
          <w:tcW w:w="810" w:type="dxa"/>
          <w:tcBorders/>
        </w:tcPr>
        <w:p>
          <w:pPr>
            <w:pStyle w:val="Footer"/>
            <w:spacing w:before="240" w:after="0"/>
            <w:ind w:start="-86" w:end="0"/>
            <w:jc w:val="end"/>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p>
      </w:tc>
      <w:tc>
        <w:tcPr>
          <w:tcW w:w="4265" w:type="dxa"/>
          <w:tcBorders/>
        </w:tcPr>
        <w:p>
          <w:pPr>
            <w:pStyle w:val="Footer"/>
            <w:tabs>
              <w:tab w:val="center" w:pos="4320" w:leader="none"/>
              <w:tab w:val="right" w:pos="5014" w:leader="none"/>
              <w:tab w:val="right" w:pos="9360" w:leader="none"/>
            </w:tabs>
            <w:snapToGrid w:val="false"/>
            <w:ind w:start="259" w:end="0"/>
            <w:jc w:val="end"/>
            <w:rPr>
              <w:rStyle w:val="PageNumber"/>
              <w:sz w:val="20"/>
            </w:rPr>
          </w:pPr>
          <w:r>
            <w:rPr/>
          </w:r>
        </w:p>
      </w:tc>
    </w:tr>
  </w:tbl>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40" w:type="dxa"/>
      <w:jc w:val="start"/>
      <w:tblInd w:w="0" w:type="dxa"/>
      <w:tblLayout w:type="fixed"/>
      <w:tblCellMar>
        <w:top w:w="0" w:type="dxa"/>
        <w:start w:w="0" w:type="dxa"/>
        <w:bottom w:w="0" w:type="dxa"/>
        <w:end w:w="0" w:type="dxa"/>
      </w:tblCellMar>
    </w:tblPr>
    <w:tblGrid>
      <w:gridCol w:w="4265"/>
      <w:gridCol w:w="810"/>
      <w:gridCol w:w="4265"/>
    </w:tblGrid>
    <w:tr>
      <w:trPr/>
      <w:tc>
        <w:tcPr>
          <w:tcW w:w="4265" w:type="dxa"/>
          <w:tcBorders/>
        </w:tcPr>
        <w:p>
          <w:pPr>
            <w:pStyle w:val="Footer"/>
            <w:snapToGrid w:val="false"/>
            <w:ind w:start="-86" w:end="0"/>
            <w:rPr/>
          </w:pPr>
          <w:r>
            <w:rPr/>
          </w:r>
        </w:p>
      </w:tc>
      <w:tc>
        <w:tcPr>
          <w:tcW w:w="810" w:type="dxa"/>
          <w:tcBorders/>
        </w:tcPr>
        <w:p>
          <w:pPr>
            <w:pStyle w:val="Footer"/>
            <w:spacing w:before="240" w:after="0"/>
            <w:ind w:start="-86" w:end="0"/>
            <w:jc w:val="end"/>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p>
      </w:tc>
      <w:tc>
        <w:tcPr>
          <w:tcW w:w="4265" w:type="dxa"/>
          <w:tcBorders/>
        </w:tcPr>
        <w:p>
          <w:pPr>
            <w:pStyle w:val="Footer"/>
            <w:tabs>
              <w:tab w:val="center" w:pos="4320" w:leader="none"/>
              <w:tab w:val="right" w:pos="5014" w:leader="none"/>
              <w:tab w:val="right" w:pos="9360" w:leader="none"/>
            </w:tabs>
            <w:snapToGrid w:val="false"/>
            <w:ind w:start="259" w:end="0"/>
            <w:jc w:val="end"/>
            <w:rPr>
              <w:rStyle w:val="PageNumber"/>
              <w:sz w:val="20"/>
            </w:rPr>
          </w:pPr>
          <w:r>
            <w:rPr/>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chkCopyTitle" w:val="False"/>
    <w:docVar w:name="chkIncludeCoverPage" w:val="True"/>
    <w:docVar w:name="chkIncludeFirmAddress" w:val="True"/>
    <w:docVar w:name="cmbAttyName" w:val="2017"/>
    <w:docVar w:name="cmbAttysFor" w:val="Respondent"/>
    <w:docVar w:name="cmbAuthorLists" w:val="-100"/>
    <w:docVar w:name="cmbCAttysFor" w:val="Appellant"/>
    <w:docVar w:name="cmbCrossActions" w:val="none"/>
    <w:docVar w:name="cmbDated" w:val="2"/>
    <w:docVar w:name="cmbDPartyTitle" w:val="Respondent"/>
    <w:docVar w:name="cmbOptBodyTextAlignment" w:val="0"/>
    <w:docVar w:name="cmbOptDated" w:val="2"/>
    <w:docVar w:name="cmbOptFonts" w:val="Times New Roman"/>
    <w:docVar w:name="cmbOptOffices" w:val="1"/>
    <w:docVar w:name="cmbOptSigType" w:val="Respectfully Submitted"/>
    <w:docVar w:name="cmbPPartyTitle" w:val="Appellant"/>
    <w:docVar w:name="cmbPrefLists" w:val="-100"/>
    <w:docVar w:name="cmbSetAuthorPref" w:val="2017"/>
    <w:docVar w:name="iTrailerType" w:val="1"/>
    <w:docVar w:name="lstAttyList" w:val="2017"/>
    <w:docVar w:name="lstCourts" w:val="Public Utilities Commission"/>
    <w:docVar w:name="lstSigType" w:val="PUC Signature"/>
    <w:docVar w:name="OtherCaptionItems" w:val="†"/>
    <w:docVar w:name="packedarray" w:val="Michael B. Day†2017"/>
    <w:docVar w:name="Restarted" w:val="True"/>
    <w:docVar w:name="tglUseFirmDefaults" w:val="False"/>
    <w:docVar w:name="txtAppealedFrom" w:val="San Francisco"/>
    <w:docVar w:name="txtAppealFrom" w:val="the Superior Court&#10;of California, City and County of"/>
    <w:docVar w:name="txtAttyName" w:val="Michael B. Day"/>
    <w:docVar w:name="txtAttysFor" w:val="Enron North America Corp., Enron Energy Services, Inc."/>
    <w:docVar w:name="txtCaseNo" w:val="2nd Civil No. "/>
    <w:docVar w:name="txtCAttysFor" w:val="Appellant"/>
    <w:docVar w:name="txtDPartyTitle" w:val="Respondent"/>
    <w:docVar w:name="txtOptFirstLine" w:val="1"/>
    <w:docVar w:name="txtOptFSize" w:val="12"/>
    <w:docVar w:name="txtOptLeftMargin" w:val="1.5"/>
    <w:docVar w:name="txtOptRightMargin" w:val="1.5"/>
    <w:docVar w:name="txtOriginalCaseNo" w:val="Civil Case No. "/>
    <w:docVar w:name="txtPPTitle" w:val="Appellant"/>
    <w:docVar w:name="zzmpFixed_MacPacVersion" w:val="97"/>
    <w:docVar w:name="zzmpFixed_PleadingPaperType" w:val="PPNone"/>
    <w:docVar w:name="zzmpFixedDOC_ID" w:val="2704/009/X20292-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widowControl/>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widowControl/>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widowControl/>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widowControl/>
      <w:numPr>
        <w:ilvl w:val="3"/>
        <w:numId w:val="1"/>
      </w:numPr>
      <w:spacing w:before="240" w:after="60"/>
      <w:outlineLvl w:val="3"/>
    </w:pPr>
    <w:rPr>
      <w:rFonts w:ascii="Arial" w:hAnsi="Arial" w:cs="Arial"/>
      <w:b/>
    </w:rPr>
  </w:style>
  <w:style w:type="paragraph" w:styleId="Heading5">
    <w:name w:val="heading 5"/>
    <w:basedOn w:val="Normal"/>
    <w:next w:val="Normal"/>
    <w:qFormat/>
    <w:pPr>
      <w:widowControl/>
      <w:numPr>
        <w:ilvl w:val="4"/>
        <w:numId w:val="1"/>
      </w:numPr>
      <w:spacing w:before="240" w:after="60"/>
      <w:outlineLvl w:val="4"/>
    </w:pPr>
    <w:rPr>
      <w:sz w:val="22"/>
    </w:rPr>
  </w:style>
  <w:style w:type="paragraph" w:styleId="Heading6">
    <w:name w:val="heading 6"/>
    <w:basedOn w:val="Normal"/>
    <w:next w:val="Normal"/>
    <w:qFormat/>
    <w:pPr>
      <w:widowControl/>
      <w:numPr>
        <w:ilvl w:val="5"/>
        <w:numId w:val="1"/>
      </w:numPr>
      <w:spacing w:before="240" w:after="60"/>
      <w:outlineLvl w:val="5"/>
    </w:pPr>
    <w:rPr>
      <w:i/>
      <w:sz w:val="22"/>
    </w:rPr>
  </w:style>
  <w:style w:type="paragraph" w:styleId="Heading7">
    <w:name w:val="heading 7"/>
    <w:basedOn w:val="Normal"/>
    <w:next w:val="Normal"/>
    <w:qFormat/>
    <w:pPr>
      <w:widowControl/>
      <w:numPr>
        <w:ilvl w:val="6"/>
        <w:numId w:val="1"/>
      </w:numPr>
      <w:spacing w:before="240" w:after="60"/>
      <w:outlineLvl w:val="6"/>
    </w:pPr>
    <w:rPr>
      <w:rFonts w:ascii="Arial" w:hAnsi="Arial" w:cs="Arial"/>
      <w:sz w:val="20"/>
    </w:rPr>
  </w:style>
  <w:style w:type="paragraph" w:styleId="Heading8">
    <w:name w:val="heading 8"/>
    <w:basedOn w:val="Normal"/>
    <w:next w:val="Normal"/>
    <w:qFormat/>
    <w:pPr>
      <w:widowControl/>
      <w:numPr>
        <w:ilvl w:val="7"/>
        <w:numId w:val="1"/>
      </w:numPr>
      <w:spacing w:before="240" w:after="60"/>
      <w:outlineLvl w:val="7"/>
    </w:pPr>
    <w:rPr>
      <w:rFonts w:ascii="Arial" w:hAnsi="Arial" w:cs="Arial"/>
      <w:i/>
      <w:sz w:val="20"/>
    </w:rPr>
  </w:style>
  <w:style w:type="paragraph" w:styleId="Heading9">
    <w:name w:val="heading 9"/>
    <w:basedOn w:val="Normal"/>
    <w:next w:val="Normal"/>
    <w:qFormat/>
    <w:pPr>
      <w:widowControl/>
      <w:numPr>
        <w:ilvl w:val="8"/>
        <w:numId w:val="1"/>
      </w:numPr>
      <w:spacing w:before="240" w:after="60"/>
      <w:outlineLvl w:val="8"/>
    </w:pPr>
    <w:rPr>
      <w:rFonts w:ascii="Arial" w:hAnsi="Arial" w:cs="Arial"/>
      <w:b/>
      <w:i/>
      <w:sz w:val="18"/>
    </w:rPr>
  </w:style>
  <w:style w:type="character" w:styleId="WW8Num1z0">
    <w:name w:val="WW8Num1z0"/>
    <w:qFormat/>
    <w:rPr>
      <w:b/>
      <w:u w:val="none"/>
    </w:rPr>
  </w:style>
  <w:style w:type="character" w:styleId="WW8Num1z1">
    <w:name w:val="WW8Num1z1"/>
    <w:qFormat/>
    <w:rPr>
      <w:rFonts w:ascii="Courier New" w:hAnsi="Courier New" w:cs="Courier New"/>
      <w:b/>
      <w:u w:val="none"/>
    </w:rPr>
  </w:style>
  <w:style w:type="character" w:styleId="WW8Num1z2">
    <w:name w:val="WW8Num1z2"/>
    <w:qFormat/>
    <w:rPr>
      <w:b w:val="false"/>
      <w:u w:val="none"/>
    </w:rPr>
  </w:style>
  <w:style w:type="character" w:styleId="WW8Num2z0">
    <w:name w:val="WW8Num2z0"/>
    <w:qFormat/>
    <w:rPr>
      <w:b/>
      <w:i w:val="false"/>
      <w:caps w:val="false"/>
      <w:smallCaps w:val="false"/>
      <w:strike w:val="false"/>
      <w:dstrike w:val="false"/>
      <w:shadow w:val="false"/>
      <w:vanish w:val="false"/>
      <w:color w:val="0000FF"/>
      <w:position w:val="0"/>
      <w:sz w:val="24"/>
      <w:u w:val="none"/>
      <w:vertAlign w:val="baseline"/>
    </w:rPr>
  </w:style>
  <w:style w:type="character" w:styleId="WW8Num2z2">
    <w:name w:val="WW8Num2z2"/>
    <w:qFormat/>
    <w:rPr>
      <w:b w:val="false"/>
      <w:i w:val="false"/>
      <w:caps w:val="false"/>
      <w:smallCaps w:val="false"/>
      <w:strike w:val="false"/>
      <w:dstrike w:val="false"/>
      <w:shadow w:val="false"/>
      <w:vanish w:val="false"/>
      <w:color w:val="0000FF"/>
      <w:position w:val="0"/>
      <w:sz w:val="24"/>
      <w:vertAlign w:val="baseline"/>
    </w:rPr>
  </w:style>
  <w:style w:type="character" w:styleId="WW8Num2z3">
    <w:name w:val="WW8Num2z3"/>
    <w:qFormat/>
    <w:rPr>
      <w:b w:val="false"/>
      <w:i w:val="false"/>
      <w:caps w:val="false"/>
      <w:smallCaps w:val="false"/>
      <w:strike w:val="false"/>
      <w:dstrike w:val="false"/>
      <w:outline w:val="false"/>
      <w:shadow w:val="false"/>
      <w:vanish w:val="false"/>
      <w:color w:val="0000FF"/>
      <w:position w:val="0"/>
      <w:sz w:val="24"/>
      <w:u w:val="none"/>
      <w:vertAlign w:val="baseline"/>
    </w:rPr>
  </w:style>
  <w:style w:type="character" w:styleId="WW8Num2z4">
    <w:name w:val="WW8Num2z4"/>
    <w:qFormat/>
    <w:rPr>
      <w:caps w:val="false"/>
      <w:smallCaps w:val="false"/>
      <w:strike w:val="false"/>
      <w:dstrike w:val="false"/>
      <w:shadow w:val="false"/>
      <w:vanish w:val="false"/>
      <w:color w:val="0000FF"/>
      <w:position w:val="0"/>
      <w:sz w:val="24"/>
      <w:u w:val="none"/>
      <w:vertAlign w:val="baseline"/>
    </w:rPr>
  </w:style>
  <w:style w:type="character" w:styleId="WW8Num2z7">
    <w:name w:val="WW8Num2z7"/>
    <w:qFormat/>
    <w:rPr>
      <w:b w:val="false"/>
      <w:i w:val="false"/>
      <w:caps w:val="false"/>
      <w:smallCaps w:val="false"/>
      <w:strike w:val="false"/>
      <w:dstrike w:val="false"/>
      <w:shadow w:val="false"/>
      <w:vanish w:val="false"/>
      <w:color w:val="0000FF"/>
      <w:position w:val="0"/>
      <w:sz w:val="24"/>
      <w:u w:val="none"/>
      <w:vertAlign w:val="baseline"/>
    </w:rPr>
  </w:style>
  <w:style w:type="character" w:styleId="WW8Num3z0">
    <w:name w:val="WW8Num3z0"/>
    <w:qFormat/>
    <w:rPr>
      <w:b/>
      <w:i w:val="false"/>
      <w:caps w:val="false"/>
      <w:smallCaps w:val="false"/>
      <w:strike w:val="false"/>
      <w:dstrike w:val="false"/>
      <w:shadow w:val="false"/>
      <w:vanish w:val="false"/>
      <w:color w:val="0000FF"/>
      <w:position w:val="0"/>
      <w:sz w:val="24"/>
      <w:u w:val="none"/>
      <w:vertAlign w:val="baseline"/>
    </w:rPr>
  </w:style>
  <w:style w:type="character" w:styleId="WW8Num3z2">
    <w:name w:val="WW8Num3z2"/>
    <w:qFormat/>
    <w:rPr>
      <w:b w:val="false"/>
      <w:i w:val="false"/>
      <w:caps w:val="false"/>
      <w:smallCaps w:val="false"/>
      <w:strike w:val="false"/>
      <w:dstrike w:val="false"/>
      <w:shadow w:val="false"/>
      <w:vanish w:val="false"/>
      <w:color w:val="0000FF"/>
      <w:position w:val="0"/>
      <w:sz w:val="24"/>
      <w:vertAlign w:val="baseline"/>
    </w:rPr>
  </w:style>
  <w:style w:type="character" w:styleId="WW8Num3z3">
    <w:name w:val="WW8Num3z3"/>
    <w:qFormat/>
    <w:rPr>
      <w:b w:val="false"/>
      <w:i w:val="false"/>
      <w:caps w:val="false"/>
      <w:smallCaps w:val="false"/>
      <w:strike w:val="false"/>
      <w:dstrike w:val="false"/>
      <w:outline w:val="false"/>
      <w:shadow w:val="false"/>
      <w:vanish w:val="false"/>
      <w:color w:val="0000FF"/>
      <w:position w:val="0"/>
      <w:sz w:val="24"/>
      <w:u w:val="none"/>
      <w:vertAlign w:val="baseline"/>
    </w:rPr>
  </w:style>
  <w:style w:type="character" w:styleId="WW8Num3z4">
    <w:name w:val="WW8Num3z4"/>
    <w:qFormat/>
    <w:rPr>
      <w:caps w:val="false"/>
      <w:smallCaps w:val="false"/>
      <w:strike w:val="false"/>
      <w:dstrike w:val="false"/>
      <w:shadow w:val="false"/>
      <w:vanish w:val="false"/>
      <w:color w:val="0000FF"/>
      <w:position w:val="0"/>
      <w:sz w:val="24"/>
      <w:u w:val="none"/>
      <w:vertAlign w:val="baseline"/>
    </w:rPr>
  </w:style>
  <w:style w:type="character" w:styleId="WW8Num3z7">
    <w:name w:val="WW8Num3z7"/>
    <w:qFormat/>
    <w:rPr>
      <w:b w:val="false"/>
      <w:i w:val="false"/>
      <w:caps w:val="false"/>
      <w:smallCaps w:val="false"/>
      <w:strike w:val="false"/>
      <w:dstrike w:val="false"/>
      <w:shadow w:val="false"/>
      <w:vanish w:val="false"/>
      <w:color w:val="0000FF"/>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9360" w:leader="none"/>
      </w:tabs>
    </w:pPr>
    <w:rPr/>
  </w:style>
  <w:style w:type="paragraph" w:styleId="Header">
    <w:name w:val="header"/>
    <w:basedOn w:val="Normal"/>
    <w:pPr>
      <w:tabs>
        <w:tab w:val="clear" w:pos="720"/>
        <w:tab w:val="center" w:pos="4320" w:leader="none"/>
        <w:tab w:val="right" w:pos="9360" w:leader="none"/>
      </w:tabs>
    </w:pPr>
    <w:rPr/>
  </w:style>
  <w:style w:type="paragraph" w:styleId="Quote">
    <w:name w:val="Quote"/>
    <w:basedOn w:val="Normal"/>
    <w:next w:val="BodyTextContinued"/>
    <w:qFormat/>
    <w:pPr>
      <w:widowControl/>
      <w:spacing w:before="0" w:after="240"/>
      <w:ind w:hanging="0" w:start="1440" w:end="1440"/>
    </w:pPr>
    <w:rPr/>
  </w:style>
  <w:style w:type="paragraph" w:styleId="BodyTextContinued">
    <w:name w:val="Body Text Continued"/>
    <w:basedOn w:val="BodyText"/>
    <w:next w:val="BodyText"/>
    <w:qFormat/>
    <w:pPr>
      <w:ind w:hanging="0" w:start="0" w:end="0"/>
    </w:pPr>
    <w:rPr/>
  </w:style>
  <w:style w:type="paragraph" w:styleId="Centered">
    <w:name w:val="Centered"/>
    <w:basedOn w:val="Normal"/>
    <w:next w:val="BodyText"/>
    <w:qFormat/>
    <w:pPr>
      <w:spacing w:before="0" w:after="240"/>
      <w:jc w:val="center"/>
    </w:pPr>
    <w:rPr/>
  </w:style>
  <w:style w:type="paragraph" w:styleId="EnvelopeAddress">
    <w:name w:val="envelope address"/>
    <w:basedOn w:val="Normal"/>
    <w:pPr/>
    <w:rPr/>
  </w:style>
  <w:style w:type="paragraph" w:styleId="FootnoteText">
    <w:name w:val="footnote text"/>
    <w:basedOn w:val="Normal"/>
    <w:pPr>
      <w:keepLines/>
    </w:pPr>
    <w:rPr/>
  </w:style>
  <w:style w:type="paragraph" w:styleId="HeaderNumbers">
    <w:name w:val="HeaderNumbers"/>
    <w:basedOn w:val="Normal"/>
    <w:qFormat/>
    <w:pPr>
      <w:spacing w:lineRule="exact" w:line="480" w:before="720" w:after="0"/>
      <w:ind w:hanging="0" w:start="0" w:end="144"/>
      <w:jc w:val="end"/>
    </w:pPr>
    <w:rPr/>
  </w:style>
  <w:style w:type="paragraph" w:styleId="NormalIndent">
    <w:name w:val="Normal Indent"/>
    <w:basedOn w:val="Normal"/>
    <w:qFormat/>
    <w:pPr>
      <w:ind w:hanging="0" w:start="720" w:end="720"/>
    </w:pPr>
    <w:rPr/>
  </w:style>
  <w:style w:type="paragraph" w:styleId="PleadingSignature">
    <w:name w:val="Pleading Signature"/>
    <w:basedOn w:val="Normal"/>
    <w:qFormat/>
    <w:pPr>
      <w:keepNext w:val="true"/>
      <w:keepLines/>
      <w:tabs>
        <w:tab w:val="clear" w:pos="720"/>
        <w:tab w:val="left" w:pos="5126" w:leader="none"/>
        <w:tab w:val="right" w:pos="9360" w:leader="none"/>
      </w:tabs>
      <w:ind w:hanging="0" w:start="5040" w:end="0"/>
    </w:pPr>
    <w:rPr/>
  </w:style>
  <w:style w:type="paragraph" w:styleId="TableofAuthorities">
    <w:name w:val="Table of Authorities"/>
    <w:basedOn w:val="Normal"/>
    <w:next w:val="Normal"/>
    <w:qFormat/>
    <w:pPr>
      <w:tabs>
        <w:tab w:val="clear" w:pos="720"/>
        <w:tab w:val="right" w:pos="9389" w:leader="dot"/>
      </w:tabs>
      <w:spacing w:before="0" w:after="240"/>
      <w:ind w:hanging="360" w:start="360" w:end="1440"/>
    </w:pPr>
    <w:rPr/>
  </w:style>
  <w:style w:type="paragraph" w:styleId="TOAHeading">
    <w:name w:val="TOA Heading"/>
    <w:basedOn w:val="Normal"/>
    <w:next w:val="TableofAuthorities"/>
    <w:qFormat/>
    <w:pPr>
      <w:keepNext w:val="true"/>
      <w:spacing w:before="240" w:after="240"/>
    </w:pPr>
    <w:rPr>
      <w:b/>
      <w:caps/>
      <w:u w:val="single"/>
    </w:rPr>
  </w:style>
  <w:style w:type="paragraph" w:styleId="TOC1">
    <w:name w:val="toc 1"/>
    <w:basedOn w:val="Normal"/>
    <w:next w:val="Normal"/>
    <w:pPr>
      <w:keepLines/>
      <w:widowControl/>
      <w:tabs>
        <w:tab w:val="clear" w:pos="720"/>
        <w:tab w:val="right" w:pos="9389" w:leader="dot"/>
      </w:tabs>
      <w:spacing w:before="0" w:after="240"/>
      <w:ind w:hanging="720" w:start="720" w:end="720"/>
    </w:pPr>
    <w:rPr>
      <w:caps/>
    </w:rPr>
  </w:style>
  <w:style w:type="paragraph" w:styleId="TOC2">
    <w:name w:val="toc 2"/>
    <w:basedOn w:val="Normal"/>
    <w:next w:val="Normal"/>
    <w:pPr>
      <w:keepLines/>
      <w:widowControl/>
      <w:tabs>
        <w:tab w:val="clear" w:pos="720"/>
        <w:tab w:val="right" w:pos="9389" w:leader="dot"/>
      </w:tabs>
      <w:spacing w:before="0" w:after="240"/>
      <w:ind w:hanging="720" w:start="1440" w:end="720"/>
    </w:pPr>
    <w:rPr/>
  </w:style>
  <w:style w:type="paragraph" w:styleId="TOC3">
    <w:name w:val="toc 3"/>
    <w:basedOn w:val="Normal"/>
    <w:next w:val="Normal"/>
    <w:pPr>
      <w:keepLines/>
      <w:widowControl/>
      <w:tabs>
        <w:tab w:val="clear" w:pos="720"/>
        <w:tab w:val="right" w:pos="9389" w:leader="dot"/>
      </w:tabs>
      <w:spacing w:before="0" w:after="240"/>
      <w:ind w:hanging="720" w:start="2160" w:end="720"/>
    </w:pPr>
    <w:rPr/>
  </w:style>
  <w:style w:type="paragraph" w:styleId="TOC4">
    <w:name w:val="toc 4"/>
    <w:basedOn w:val="Normal"/>
    <w:next w:val="Normal"/>
    <w:pPr>
      <w:keepLines/>
      <w:widowControl/>
      <w:tabs>
        <w:tab w:val="clear" w:pos="720"/>
        <w:tab w:val="right" w:pos="9389" w:leader="dot"/>
      </w:tabs>
      <w:spacing w:before="0" w:after="240"/>
      <w:ind w:hanging="720" w:start="2880" w:end="720"/>
    </w:pPr>
    <w:rPr/>
  </w:style>
  <w:style w:type="paragraph" w:styleId="TOC5">
    <w:name w:val="toc 5"/>
    <w:basedOn w:val="Normal"/>
    <w:next w:val="Normal"/>
    <w:pPr>
      <w:keepLines/>
      <w:widowControl/>
      <w:tabs>
        <w:tab w:val="clear" w:pos="720"/>
        <w:tab w:val="right" w:pos="9389" w:leader="dot"/>
      </w:tabs>
      <w:spacing w:before="0" w:after="240"/>
      <w:ind w:hanging="720" w:start="3600" w:end="720"/>
    </w:pPr>
    <w:rPr/>
  </w:style>
  <w:style w:type="paragraph" w:styleId="TOC6">
    <w:name w:val="toc 6"/>
    <w:basedOn w:val="Normal"/>
    <w:next w:val="Normal"/>
    <w:pPr>
      <w:keepLines/>
      <w:widowControl/>
      <w:tabs>
        <w:tab w:val="clear" w:pos="720"/>
        <w:tab w:val="right" w:pos="9389" w:leader="dot"/>
      </w:tabs>
      <w:spacing w:before="0" w:after="240"/>
      <w:ind w:hanging="720" w:start="4320" w:end="720"/>
    </w:pPr>
    <w:rPr/>
  </w:style>
  <w:style w:type="paragraph" w:styleId="TOC7">
    <w:name w:val="toc 7"/>
    <w:basedOn w:val="Normal"/>
    <w:next w:val="Normal"/>
    <w:pPr>
      <w:keepLines/>
      <w:widowControl/>
      <w:tabs>
        <w:tab w:val="clear" w:pos="720"/>
        <w:tab w:val="right" w:pos="9389" w:leader="dot"/>
      </w:tabs>
      <w:spacing w:before="0" w:after="240"/>
      <w:ind w:hanging="720" w:start="5040" w:end="720"/>
    </w:pPr>
    <w:rPr/>
  </w:style>
  <w:style w:type="paragraph" w:styleId="TOC8">
    <w:name w:val="toc 8"/>
    <w:basedOn w:val="Normal"/>
    <w:next w:val="Normal"/>
    <w:pPr>
      <w:keepLines/>
      <w:widowControl/>
      <w:tabs>
        <w:tab w:val="clear" w:pos="720"/>
        <w:tab w:val="right" w:pos="9389" w:leader="dot"/>
      </w:tabs>
      <w:spacing w:before="0" w:after="240"/>
      <w:ind w:hanging="720" w:start="5760" w:end="720"/>
    </w:pPr>
    <w:rPr/>
  </w:style>
  <w:style w:type="paragraph" w:styleId="TOC9">
    <w:name w:val="toc 9"/>
    <w:basedOn w:val="Normal"/>
    <w:next w:val="Normal"/>
    <w:pPr>
      <w:keepLines/>
      <w:widowControl/>
      <w:tabs>
        <w:tab w:val="clear" w:pos="720"/>
        <w:tab w:val="right" w:pos="9389" w:leader="dot"/>
      </w:tabs>
      <w:spacing w:before="0" w:after="240"/>
      <w:ind w:hanging="720" w:start="6480" w:end="720"/>
    </w:pPr>
    <w:rPr/>
  </w:style>
  <w:style w:type="paragraph" w:styleId="CoverPage">
    <w:name w:val="CoverPage"/>
    <w:basedOn w:val="Normal"/>
    <w:qFormat/>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PUC-Appellate.dot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2001-01-24T20:12:00Z</dcterms:created>
  <dc:creator>Michael B. Day</dc:creator>
  <dc:description/>
  <dc:language>en-CA</dc:language>
  <cp:lastModifiedBy>Michael B. Day</cp:lastModifiedBy>
  <cp:lastPrinted>2001-01-24T14:42:00Z</cp:lastPrinted>
  <dcterms:modified xsi:type="dcterms:W3CDTF">2001-01-24T20:12:00Z</dcterms:modified>
  <cp:revision>2</cp:revision>
  <dc:subject/>
  <dc:title/>
</cp:coreProperties>
</file>