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DRAFT LETTER ADDRESSING DIVERSION SITUATION</w:t>
      </w:r>
    </w:p>
    <w:p>
      <w:pPr>
        <w:pStyle w:val="Normal"/>
        <w:rPr>
          <w:b/>
        </w:rPr>
      </w:pPr>
      <w:r>
        <w:rPr>
          <w:b/>
        </w:rPr>
      </w:r>
    </w:p>
    <w:p>
      <w:pPr>
        <w:pStyle w:val="Normal"/>
        <w:rPr/>
      </w:pPr>
      <w:r>
        <w:rPr/>
        <w:t>[Insert addresses of Commissioners, Paul Clanon]</w:t>
      </w:r>
    </w:p>
    <w:p>
      <w:pPr>
        <w:pStyle w:val="Normal"/>
        <w:rPr/>
      </w:pPr>
      <w:r>
        <w:rPr/>
      </w:r>
    </w:p>
    <w:p>
      <w:pPr>
        <w:pStyle w:val="Normal"/>
        <w:rPr/>
      </w:pPr>
      <w:r>
        <w:rPr/>
        <w:t>Dear President Lynch and Commissioners Duque, Bilas, Wood and Stevens:</w:t>
      </w:r>
    </w:p>
    <w:p>
      <w:pPr>
        <w:pStyle w:val="Normal"/>
        <w:rPr/>
      </w:pPr>
      <w:r>
        <w:rPr/>
      </w:r>
    </w:p>
    <w:p>
      <w:pPr>
        <w:pStyle w:val="Normal"/>
        <w:rPr/>
      </w:pPr>
      <w:r>
        <w:rPr/>
      </w:r>
    </w:p>
    <w:p>
      <w:pPr>
        <w:pStyle w:val="Normal"/>
        <w:rPr/>
      </w:pPr>
      <w:r>
        <w:rPr/>
        <w:t xml:space="preserve">By this letter, the undersigned </w:t>
      </w:r>
      <w:r>
        <w:rPr>
          <w:i/>
        </w:rPr>
        <w:t>ad hoc</w:t>
      </w:r>
      <w:r>
        <w:rPr/>
        <w:t xml:space="preserve"> group of gas suppliers and non-core customers raises an issue requiring immediate Commission attention.  As detailed here, we request that the Commission take immediate action directing Pacific Gas &amp; Electric Company (PG&amp;E) to halt its current practices of diverting gas from non-core customers to core customers -- without any reasonable guarantee of compensation to either the supplier or the non-core customer from whom gas was diverted.   </w:t>
      </w:r>
    </w:p>
    <w:p>
      <w:pPr>
        <w:pStyle w:val="Normal"/>
        <w:rPr/>
      </w:pPr>
      <w:r>
        <w:rPr/>
      </w:r>
    </w:p>
    <w:p>
      <w:pPr>
        <w:pStyle w:val="Normal"/>
        <w:rPr/>
      </w:pPr>
      <w:r>
        <w:rPr/>
        <w:t>Specifically, earlier this week, in response to its severe financial situation and resulting inability to procure adequate gas supplies to meet its core customer demand, PG&amp;E began to divert gas from non-core customers to core customers.  In order to do so, PG&amp;E invoked Rule 14 of its Gas Tariff (in particular, Subsection G thereto) in a highly questionable and potentially catastrophic manner for the suppliers and non-core customers identified below.  As a result, the Commission must step in and direct PG&amp;E to immediately cease diversion of natural gas when such diversion is based solely on financial circumstances, not operational conditions.</w:t>
      </w:r>
    </w:p>
    <w:p>
      <w:pPr>
        <w:pStyle w:val="Normal"/>
        <w:rPr/>
      </w:pPr>
      <w:r>
        <w:rPr/>
      </w:r>
    </w:p>
    <w:p>
      <w:pPr>
        <w:pStyle w:val="Normal"/>
        <w:rPr>
          <w:b/>
          <w:i/>
          <w:i/>
        </w:rPr>
      </w:pPr>
      <w:r>
        <w:rPr>
          <w:b/>
          <w:i/>
        </w:rPr>
        <w:t>PG&amp;E Has Misused Diversion Powers in its Gas Tariff to Address its Financial Crisis, Not Operational Conditions.</w:t>
      </w:r>
    </w:p>
    <w:p>
      <w:pPr>
        <w:pStyle w:val="Normal"/>
        <w:rPr>
          <w:b/>
          <w:i/>
          <w:i/>
        </w:rPr>
      </w:pPr>
      <w:r>
        <w:rPr>
          <w:b/>
          <w:i/>
        </w:rPr>
      </w:r>
    </w:p>
    <w:p>
      <w:pPr>
        <w:pStyle w:val="Normal"/>
        <w:rPr/>
      </w:pPr>
      <w:r>
        <w:rPr/>
        <w:t>Rule 14.A. in general provides PG&amp;E with the ability to address projected or actual supply or capacity shortages when such shortages occur “for operational reasons.”  More particularly, Rule 14.G. on Emergency Flow Orders or EFO’s permits PG&amp;E to divert customer-owned gas (non-core) to core customers “[w]hen operational conditions exist such that supply is insufficient to meet demand and deliveries to Core End-Use Customers are threatened.“  In such circumstances, Rule 14.G. provides for compensation for firm diverted gas through a $5/Th diversion credit and for as-available diverted gas at a market based index.  Rule 14.G.3.  In addition, core customers taking diverted gas in excess of compliance amounts are penalized an additional $5/Th EFO noncompliance charge.</w:t>
      </w:r>
      <w:r>
        <w:rPr>
          <w:rStyle w:val="FootnoteCharacters"/>
        </w:rPr>
        <w:t xml:space="preserve"> </w:t>
      </w:r>
      <w:r>
        <w:rPr>
          <w:rStyle w:val="FootnoteCharacters"/>
          <w:rStyle w:val="FootnoteReference"/>
        </w:rPr>
        <w:footnoteReference w:id="2"/>
      </w:r>
    </w:p>
    <w:p>
      <w:pPr>
        <w:pStyle w:val="Normal"/>
        <w:rPr/>
      </w:pPr>
      <w:r>
        <w:rPr/>
      </w:r>
    </w:p>
    <w:p>
      <w:pPr>
        <w:pStyle w:val="Normal"/>
        <w:rPr/>
      </w:pPr>
      <w:r>
        <w:rPr/>
        <w:t xml:space="preserve">These provisions of PG&amp;E’s tariff are expressly linked to operational conditions such as extreme temperatures or other </w:t>
      </w:r>
      <w:r>
        <w:rPr>
          <w:b/>
          <w:i/>
        </w:rPr>
        <w:t>physical</w:t>
      </w:r>
      <w:r>
        <w:rPr/>
        <w:t xml:space="preserve"> constraints placed on the PG&amp;E system.  In the present circumstance, PG&amp;E is not diverting gas based on an operational constraint. Rather, PG&amp;E is diverting gas due to its Core Procurement Department’s inability to obtain supply due to PG&amp;E’s present financial difficulties and suppliers’ wariness to sell to a utility facing potential bankruptcy.  PG&amp;E’s inability to finance purchases cannot reasonably be considered an operational condition, as required in Rule 14.G., that would support involuntary diversions of gas to PG&amp;E’s Core Procurement department.  Without the presence of necessary physical, operational conditions, PG&amp;E’s acts of diversion are contrary to its own rules and should not be permitted under any circumstances.</w:t>
      </w:r>
    </w:p>
    <w:p>
      <w:pPr>
        <w:pStyle w:val="Normal"/>
        <w:rPr/>
      </w:pPr>
      <w:r>
        <w:rPr/>
      </w:r>
    </w:p>
    <w:p>
      <w:pPr>
        <w:pStyle w:val="Normal"/>
        <w:rPr/>
      </w:pPr>
      <w:r>
        <w:rPr/>
        <w:t xml:space="preserve">PG&amp;E also cannot realistically portray its financial difficulties as a </w:t>
      </w:r>
      <w:r>
        <w:rPr>
          <w:i/>
        </w:rPr>
        <w:t>force majeure</w:t>
      </w:r>
      <w:r>
        <w:rPr/>
        <w:t xml:space="preserve"> event that might otherwise release PG&amp;E from liability for its own actions.  In Rule 14.A., for example, PG&amp;E excuses itself from liability: </w:t>
      </w:r>
    </w:p>
    <w:p>
      <w:pPr>
        <w:pStyle w:val="Normal"/>
        <w:rPr/>
      </w:pPr>
      <w:r>
        <w:rPr/>
      </w:r>
    </w:p>
    <w:p>
      <w:pPr>
        <w:pStyle w:val="Normal"/>
        <w:ind w:start="1440" w:end="1440"/>
        <w:rPr/>
      </w:pPr>
      <w:r>
        <w:rPr/>
        <w:t>…</w:t>
      </w:r>
      <w:r>
        <w:rPr/>
        <w:t>for interruption, shortage, or insufficient supply, or any loss or damage of any kind or character causes by such, if caused by accident, act of God, fire, strikes, riots, war, or any other cause that is beyond PG&amp;E’s reasonable control except that arising from PG&amp;E’s failure to exercise reasonable diligence.</w:t>
      </w:r>
    </w:p>
    <w:p>
      <w:pPr>
        <w:pStyle w:val="Normal"/>
        <w:ind w:end="1440"/>
        <w:rPr/>
      </w:pPr>
      <w:r>
        <w:rPr/>
      </w:r>
    </w:p>
    <w:p>
      <w:pPr>
        <w:pStyle w:val="Normal"/>
        <w:rPr/>
      </w:pPr>
      <w:r>
        <w:rPr/>
        <w:t xml:space="preserve">While PG&amp;E may act as if their financial distress is beyond PG&amp;E’s reasonable control, the Commission is well aware that PG&amp;E has also recently shielded its parent company from exposure to financial exposure resulting from PG&amp;E’s operations and financial distress in California.   As such, it is irresponsible for PG&amp;E to present involuntary diversions as the proper  way to address gas supply shortages caused by PG&amp;E’s own financial circumstances.  With all due respect to PG&amp;E’s serious financial problems, such problems are neither a </w:t>
      </w:r>
      <w:r>
        <w:rPr>
          <w:i/>
        </w:rPr>
        <w:t>force majeure</w:t>
      </w:r>
      <w:r>
        <w:rPr/>
        <w:t xml:space="preserve"> situation as contemplated as a excuse from liability, nor an operational condition justifying PG&amp;E’s use of an extraordinary remedy of diverting customer-owned gas from the customer that owns the gas to PG&amp;E’s Core Procurement Department.</w:t>
      </w:r>
    </w:p>
    <w:p>
      <w:pPr>
        <w:pStyle w:val="Normal"/>
        <w:rPr/>
      </w:pPr>
      <w:r>
        <w:rPr/>
      </w:r>
    </w:p>
    <w:p>
      <w:pPr>
        <w:pStyle w:val="Normal"/>
        <w:rPr>
          <w:b/>
          <w:i/>
          <w:i/>
        </w:rPr>
      </w:pPr>
      <w:r>
        <w:rPr>
          <w:b/>
          <w:i/>
        </w:rPr>
        <w:t>Suppliers and Non-Core Customers Face Irreparable Damages Associated With Diversions</w:t>
      </w:r>
    </w:p>
    <w:p>
      <w:pPr>
        <w:pStyle w:val="Normal"/>
        <w:rPr>
          <w:b/>
          <w:i/>
          <w:i/>
        </w:rPr>
      </w:pPr>
      <w:r>
        <w:rPr>
          <w:b/>
          <w:i/>
        </w:rPr>
      </w:r>
    </w:p>
    <w:p>
      <w:pPr>
        <w:pStyle w:val="Normal"/>
        <w:rPr/>
      </w:pPr>
      <w:r>
        <w:rPr/>
        <w:t xml:space="preserve">As noted above, PG&amp;E’s diversions are in direct conflict with its own diversion rules stated in Rule 14 and are not supported by allegations that PG&amp;E’s financial situation is a </w:t>
      </w:r>
      <w:r>
        <w:rPr>
          <w:i/>
        </w:rPr>
        <w:t>force majeure</w:t>
      </w:r>
      <w:r>
        <w:rPr/>
        <w:t xml:space="preserve"> justifying an escape from liability.  Yet, if PG&amp;E is allowed to go forward unchecked by this Commission, suppliers and non-core customers face irreparable harm associated with diversions.</w:t>
      </w:r>
    </w:p>
    <w:p>
      <w:pPr>
        <w:pStyle w:val="Normal"/>
        <w:rPr/>
      </w:pPr>
      <w:r>
        <w:rPr/>
      </w:r>
    </w:p>
    <w:p>
      <w:pPr>
        <w:pStyle w:val="Normal"/>
        <w:rPr/>
      </w:pPr>
      <w:r>
        <w:rPr/>
        <w:t>Specifically, suppliers have, in some situations, determined that it is too great a risk to sell gas to PG&amp;E and face non-payment or substantial underpayment in a bankruptcy situation.  PG&amp;E has made conscious decisions to shield its parent company from liability for these debts and may ultimately seek protection from creditors in bankruptcy court as the most viable solution.  Yet, by invoking EFO diversion provisions, PG&amp;E may be obtaining gas supplies that it has otherwise been unable to procure to serve its core load by diverting gas to core customers that was delivered into California to meet obligations to non-core customers and, in doing so, cause significant harm to suppliers and/or diverted non-core customers.</w:t>
      </w:r>
    </w:p>
    <w:p>
      <w:pPr>
        <w:pStyle w:val="Normal"/>
        <w:rPr/>
      </w:pPr>
      <w:r>
        <w:rPr/>
      </w:r>
    </w:p>
    <w:p>
      <w:pPr>
        <w:pStyle w:val="Normal"/>
        <w:rPr/>
      </w:pPr>
      <w:r>
        <w:rPr/>
        <w:t>In an EFO/diversion situation, suppliers and the customers that own the gas being diverted to core use are intended to be protected from financial harm by the compensation provided either in the $5/Th for firm supplies or at market rates for as-available.  Additional protection from excessive diversion is provided by noncompliance charges equal to an additional $5/Th.  As noted above, consumer advocates have sought emergency relief removing these penalty charges.</w:t>
      </w:r>
    </w:p>
    <w:p>
      <w:pPr>
        <w:pStyle w:val="Normal"/>
        <w:rPr/>
      </w:pPr>
      <w:r>
        <w:rPr/>
      </w:r>
    </w:p>
    <w:p>
      <w:pPr>
        <w:pStyle w:val="Normal"/>
        <w:rPr/>
      </w:pPr>
      <w:r>
        <w:rPr/>
        <w:t>In a bankruptcy situation, suppliers and diverted customers may only recover a portion of the funds owed to them as compensation for involuntarily diverted supplies.   In that situation, the unlawful use of Rule 14, followed by bankruptcy, will cause suppliers and non-core customers to bear the loss for transactions in which they never intended, nor wanted, to be parties.  Indeed, in many situations, the exact same suppliers have made rational business decisions to not sell gas for Core Procurement precisely to mitigate the risk of a PG&amp;E bankruptcy situation.</w:t>
      </w:r>
    </w:p>
    <w:p>
      <w:pPr>
        <w:pStyle w:val="Normal"/>
        <w:rPr/>
      </w:pPr>
      <w:r>
        <w:rPr/>
      </w:r>
    </w:p>
    <w:p>
      <w:pPr>
        <w:pStyle w:val="Normal"/>
        <w:rPr>
          <w:b/>
          <w:i/>
          <w:i/>
        </w:rPr>
      </w:pPr>
      <w:r>
        <w:rPr>
          <w:b/>
          <w:i/>
        </w:rPr>
        <w:t>Commission Action is Needed Immediately</w:t>
      </w:r>
    </w:p>
    <w:p>
      <w:pPr>
        <w:pStyle w:val="Normal"/>
        <w:rPr>
          <w:b/>
          <w:i/>
          <w:i/>
        </w:rPr>
      </w:pPr>
      <w:r>
        <w:rPr>
          <w:b/>
          <w:i/>
        </w:rPr>
      </w:r>
    </w:p>
    <w:p>
      <w:pPr>
        <w:pStyle w:val="Normal"/>
        <w:rPr/>
      </w:pPr>
      <w:r>
        <w:rPr/>
        <w:t>For the foregoing reasons, the undersigned stress that Commission action is needed in California to address PG&amp;E’s unlawful and inappropriate diversion of customer-owned gas.  We request the Commission to immediately require PG&amp;E to cease from such diversions that are not based on operational conditions as required.  Lack of Commission action will place suppliers and non-core customers in an untenable situation where they are forced to provide gas at a fraction of its costs.</w:t>
      </w:r>
    </w:p>
    <w:p>
      <w:pPr>
        <w:pStyle w:val="Normal"/>
        <w:rPr/>
      </w:pPr>
      <w:r>
        <w:rPr/>
      </w:r>
    </w:p>
    <w:p>
      <w:pPr>
        <w:pStyle w:val="Normal"/>
        <w:rPr/>
      </w:pPr>
      <w:r>
        <w:rPr/>
        <w:t>Respectfully submitted,</w:t>
      </w:r>
    </w:p>
    <w:p>
      <w:pPr>
        <w:pStyle w:val="Normal"/>
        <w:rPr/>
      </w:pPr>
      <w:r>
        <w:rPr/>
      </w:r>
    </w:p>
    <w:p>
      <w:pPr>
        <w:pStyle w:val="Normal"/>
        <w:rPr/>
      </w:pPr>
      <w:r>
        <w:rPr/>
        <w:t>[list of parties signing]</w:t>
      </w:r>
    </w:p>
    <w:p>
      <w:pPr>
        <w:pStyle w:val="Normal"/>
        <w:rPr/>
      </w:pPr>
      <w:r>
        <w:rPr/>
      </w:r>
    </w:p>
    <w:p>
      <w:pPr>
        <w:pStyle w:val="Normal"/>
        <w:spacing w:lineRule="exact" w:line="200" w:before="240" w:after="0"/>
        <w:rPr/>
      </w:pPr>
      <w:r>
        <w:rPr>
          <w:rStyle w:val="zzmpTrailerItem"/>
        </w:rPr>
        <w:t>2704/147/X20054</w:t>
      </w:r>
      <w:r>
        <w:rPr/>
        <w:t xml:space="preserve">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Notably, on January 16, 2001,TURN and ORA filed an Emergency Petition to Modify D.97-08-055 and Resolution G-3288 in order to waive diversion charges and non-compliance charges owed by customers benefiting from diverted gas supply.  In support of the Petition, TURN and ORA argue that the EFO diversion rules were not intended or contemplated to provide PG&amp;E with the alternative to divert supplies to core customers at potentially high cost in lieu of PG&amp;E meeting its obligation to procure its own gas supply.  While the undersigned group does not here take a position on the TURN/ORA Emergency Petition and the individual parties listed reserve the right to take positions at the appropriate time, we do agree with TURN and ORA that PG&amp;E is inappropriately using its EFO diversion rights in order to divert customer-owned gas to core procurement.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lang w:val="en-CA"/>
      </w:rPr>
    </w:pPr>
    <w:r>
      <w:rPr>
        <w:lang w:val="en-CA"/>
      </w:rPr>
    </w:r>
    <w:r>
      <mc:AlternateContent>
        <mc:Choice Requires="wps">
          <w:drawing>
            <wp:anchor behindDoc="1" distT="0" distB="0" distL="114935" distR="114935" simplePos="0" locked="0" layoutInCell="0" allowOverlap="1" relativeHeight="6">
              <wp:simplePos x="0" y="0"/>
              <wp:positionH relativeFrom="page">
                <wp:posOffset>6254115</wp:posOffset>
              </wp:positionH>
              <wp:positionV relativeFrom="page">
                <wp:posOffset>264795</wp:posOffset>
              </wp:positionV>
              <wp:extent cx="1207770" cy="384810"/>
              <wp:effectExtent l="0" t="0" r="0" b="0"/>
              <wp:wrapNone/>
              <wp:docPr id="1" name="Frame3"/>
              <a:graphic xmlns:a="http://schemas.openxmlformats.org/drawingml/2006/main">
                <a:graphicData uri="http://schemas.microsoft.com/office/word/2010/wordprocessingShape">
                  <wps:wsp>
                    <wps:cNvSpPr txBox="1"/>
                    <wps:spPr>
                      <a:xfrm>
                        <a:off x="0" y="0"/>
                        <a:ext cx="1207770" cy="384810"/>
                      </a:xfrm>
                      <a:prstGeom prst="rect"/>
                      <a:solidFill>
                        <a:srgbClr val="FFFFFF"/>
                      </a:solidFill>
                      <a:ln w="19050">
                        <a:solidFill>
                          <a:srgbClr val="000000"/>
                        </a:solidFill>
                      </a:ln>
                    </wps:spPr>
                    <wps:txbx>
                      <w:txbxContent>
                        <w:p>
                          <w:pPr>
                            <w:pStyle w:val="Normal"/>
                            <w:jc w:val="center"/>
                            <w:rPr>
                              <w:rFonts w:ascii="Arial" w:hAnsi="Arial" w:cs="Arial"/>
                              <w:b/>
                              <w:spacing w:val="40"/>
                              <w:w w:val="90"/>
                              <w:sz w:val="28"/>
                            </w:rPr>
                          </w:pPr>
                          <w:r>
                            <w:rPr>
                              <w:rFonts w:cs="Arial" w:ascii="Arial" w:hAnsi="Arial"/>
                              <w:b/>
                              <w:spacing w:val="40"/>
                              <w:w w:val="90"/>
                              <w:sz w:val="28"/>
                            </w:rPr>
                            <w:t>DRAFT</w:t>
                          </w:r>
                        </w:p>
                        <w:p>
                          <w:pPr>
                            <w:pStyle w:val="Normal"/>
                            <w:jc w:val="center"/>
                            <w:rPr/>
                          </w:pPr>
                          <w:r>
                            <w:rPr>
                              <w:rFonts w:cs="Arial" w:ascii="Arial" w:hAnsi="Arial"/>
                              <w:sz w:val="18"/>
                              <w:lang w:val="en-CA"/>
                            </w:rPr>
                            <w:t>01/18/01</w:t>
                          </w:r>
                          <w:r>
                            <w:rPr>
                              <w:rFonts w:cs="Arial" w:ascii="Arial" w:hAnsi="Arial"/>
                              <w:sz w:val="18"/>
                            </w:rPr>
                            <w:t xml:space="preserve"> -- </w:t>
                          </w:r>
                          <w:r>
                            <w:rPr>
                              <w:rFonts w:cs="Arial" w:ascii="Arial" w:hAnsi="Arial"/>
                              <w:sz w:val="18"/>
                              <w:lang w:val="en-CA"/>
                            </w:rPr>
                            <w:t>9:54 AM</w:t>
                          </w:r>
                        </w:p>
                      </w:txbxContent>
                    </wps:txbx>
                    <wps:bodyPr anchor="t" lIns="0" tIns="0" rIns="0" bIns="0">
                      <a:noAutofit/>
                    </wps:bodyPr>
                  </wps:wsp>
                </a:graphicData>
              </a:graphic>
            </wp:anchor>
          </w:drawing>
        </mc:Choice>
        <mc:Fallback>
          <w:pict>
            <v:rect fillcolor="#FFFFFF" strokecolor="#000000" strokeweight="1pt" style="position:absolute;rotation:-0;width:95.1pt;height:30.3pt;mso-wrap-distance-left:9.05pt;mso-wrap-distance-right:9.05pt;mso-wrap-distance-top:0pt;mso-wrap-distance-bottom:0pt;margin-top:20.85pt;mso-position-vertical-relative:page;margin-left:492.45pt;mso-position-horizontal-relative:page">
              <v:textbox inset="0in,0in,0in,0in">
                <w:txbxContent>
                  <w:p>
                    <w:pPr>
                      <w:pStyle w:val="Normal"/>
                      <w:jc w:val="center"/>
                      <w:rPr>
                        <w:rFonts w:ascii="Arial" w:hAnsi="Arial" w:cs="Arial"/>
                        <w:b/>
                        <w:spacing w:val="40"/>
                        <w:w w:val="90"/>
                        <w:sz w:val="28"/>
                      </w:rPr>
                    </w:pPr>
                    <w:r>
                      <w:rPr>
                        <w:rFonts w:cs="Arial" w:ascii="Arial" w:hAnsi="Arial"/>
                        <w:b/>
                        <w:spacing w:val="40"/>
                        <w:w w:val="90"/>
                        <w:sz w:val="28"/>
                      </w:rPr>
                      <w:t>DRAFT</w:t>
                    </w:r>
                  </w:p>
                  <w:p>
                    <w:pPr>
                      <w:pStyle w:val="Normal"/>
                      <w:jc w:val="center"/>
                      <w:rPr/>
                    </w:pPr>
                    <w:r>
                      <w:rPr>
                        <w:rFonts w:cs="Arial" w:ascii="Arial" w:hAnsi="Arial"/>
                        <w:sz w:val="18"/>
                        <w:lang w:val="en-CA"/>
                      </w:rPr>
                      <w:t>01/18/01</w:t>
                    </w:r>
                    <w:r>
                      <w:rPr>
                        <w:rFonts w:cs="Arial" w:ascii="Arial" w:hAnsi="Arial"/>
                        <w:sz w:val="18"/>
                      </w:rPr>
                      <w:t xml:space="preserve"> -- </w:t>
                    </w:r>
                    <w:r>
                      <w:rPr>
                        <w:rFonts w:cs="Arial" w:ascii="Arial" w:hAnsi="Arial"/>
                        <w:sz w:val="18"/>
                        <w:lang w:val="en-CA"/>
                      </w:rPr>
                      <w:t>9:54 AM</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lang w:val="en-CA"/>
      </w:rPr>
    </w:pPr>
    <w:r>
      <w:rPr>
        <w:lang w:val="en-CA"/>
      </w:rPr>
    </w:r>
    <w:r>
      <mc:AlternateContent>
        <mc:Choice Requires="wps">
          <w:drawing>
            <wp:anchor behindDoc="1" distT="0" distB="0" distL="114935" distR="114935" simplePos="0" locked="0" layoutInCell="0" allowOverlap="1" relativeHeight="4">
              <wp:simplePos x="0" y="0"/>
              <wp:positionH relativeFrom="page">
                <wp:posOffset>6254115</wp:posOffset>
              </wp:positionH>
              <wp:positionV relativeFrom="page">
                <wp:posOffset>264795</wp:posOffset>
              </wp:positionV>
              <wp:extent cx="1207770" cy="384810"/>
              <wp:effectExtent l="0" t="0" r="0" b="0"/>
              <wp:wrapNone/>
              <wp:docPr id="2" name="Frame1"/>
              <a:graphic xmlns:a="http://schemas.openxmlformats.org/drawingml/2006/main">
                <a:graphicData uri="http://schemas.microsoft.com/office/word/2010/wordprocessingShape">
                  <wps:wsp>
                    <wps:cNvSpPr txBox="1"/>
                    <wps:spPr>
                      <a:xfrm>
                        <a:off x="0" y="0"/>
                        <a:ext cx="1207770" cy="384810"/>
                      </a:xfrm>
                      <a:prstGeom prst="rect"/>
                      <a:solidFill>
                        <a:srgbClr val="FFFFFF"/>
                      </a:solidFill>
                      <a:ln w="19050">
                        <a:solidFill>
                          <a:srgbClr val="000000"/>
                        </a:solidFill>
                      </a:ln>
                    </wps:spPr>
                    <wps:txbx>
                      <w:txbxContent>
                        <w:p>
                          <w:pPr>
                            <w:pStyle w:val="Normal"/>
                            <w:jc w:val="center"/>
                            <w:rPr>
                              <w:rFonts w:ascii="Arial" w:hAnsi="Arial" w:cs="Arial"/>
                              <w:b/>
                              <w:spacing w:val="40"/>
                              <w:w w:val="90"/>
                              <w:sz w:val="28"/>
                            </w:rPr>
                          </w:pPr>
                          <w:bookmarkStart w:id="0" w:name="zzmpDraftStamp"/>
                          <w:r>
                            <w:rPr>
                              <w:rFonts w:cs="Arial" w:ascii="Arial" w:hAnsi="Arial"/>
                              <w:b/>
                              <w:spacing w:val="40"/>
                              <w:w w:val="90"/>
                              <w:sz w:val="28"/>
                            </w:rPr>
                            <w:t>DRAFT</w:t>
                          </w:r>
                        </w:p>
                        <w:p>
                          <w:pPr>
                            <w:pStyle w:val="Normal"/>
                            <w:jc w:val="center"/>
                            <w:rPr/>
                          </w:pPr>
                          <w:r>
                            <w:rPr>
                              <w:rFonts w:cs="Arial" w:ascii="Arial" w:hAnsi="Arial"/>
                              <w:sz w:val="18"/>
                              <w:lang w:val="en-CA"/>
                            </w:rPr>
                            <w:t>01/18/01</w:t>
                          </w:r>
                          <w:r>
                            <w:rPr>
                              <w:rFonts w:cs="Arial" w:ascii="Arial" w:hAnsi="Arial"/>
                              <w:sz w:val="18"/>
                            </w:rPr>
                            <w:t xml:space="preserve"> -- </w:t>
                          </w:r>
                          <w:r>
                            <w:rPr>
                              <w:rFonts w:cs="Arial" w:ascii="Arial" w:hAnsi="Arial"/>
                              <w:sz w:val="18"/>
                              <w:lang w:val="en-CA"/>
                            </w:rPr>
                            <w:t>9:54 AM</w:t>
                          </w:r>
                          <w:bookmarkEnd w:id="0"/>
                        </w:p>
                      </w:txbxContent>
                    </wps:txbx>
                    <wps:bodyPr anchor="t" lIns="0" tIns="0" rIns="0" bIns="0">
                      <a:noAutofit/>
                    </wps:bodyPr>
                  </wps:wsp>
                </a:graphicData>
              </a:graphic>
            </wp:anchor>
          </w:drawing>
        </mc:Choice>
        <mc:Fallback>
          <w:pict>
            <v:rect fillcolor="#FFFFFF" strokecolor="#000000" strokeweight="1pt" style="position:absolute;rotation:-0;width:95.1pt;height:30.3pt;mso-wrap-distance-left:9.05pt;mso-wrap-distance-right:9.05pt;mso-wrap-distance-top:0pt;mso-wrap-distance-bottom:0pt;margin-top:20.85pt;mso-position-vertical-relative:page;margin-left:492.45pt;mso-position-horizontal-relative:page">
              <v:textbox inset="0in,0in,0in,0in">
                <w:txbxContent>
                  <w:p>
                    <w:pPr>
                      <w:pStyle w:val="Normal"/>
                      <w:jc w:val="center"/>
                      <w:rPr>
                        <w:rFonts w:ascii="Arial" w:hAnsi="Arial" w:cs="Arial"/>
                        <w:b/>
                        <w:spacing w:val="40"/>
                        <w:w w:val="90"/>
                        <w:sz w:val="28"/>
                      </w:rPr>
                    </w:pPr>
                    <w:bookmarkStart w:id="1" w:name="zzmpDraftStamp"/>
                    <w:r>
                      <w:rPr>
                        <w:rFonts w:cs="Arial" w:ascii="Arial" w:hAnsi="Arial"/>
                        <w:b/>
                        <w:spacing w:val="40"/>
                        <w:w w:val="90"/>
                        <w:sz w:val="28"/>
                      </w:rPr>
                      <w:t>DRAFT</w:t>
                    </w:r>
                  </w:p>
                  <w:p>
                    <w:pPr>
                      <w:pStyle w:val="Normal"/>
                      <w:jc w:val="center"/>
                      <w:rPr/>
                    </w:pPr>
                    <w:r>
                      <w:rPr>
                        <w:rFonts w:cs="Arial" w:ascii="Arial" w:hAnsi="Arial"/>
                        <w:sz w:val="18"/>
                        <w:lang w:val="en-CA"/>
                      </w:rPr>
                      <w:t>01/18/01</w:t>
                    </w:r>
                    <w:r>
                      <w:rPr>
                        <w:rFonts w:cs="Arial" w:ascii="Arial" w:hAnsi="Arial"/>
                        <w:sz w:val="18"/>
                      </w:rPr>
                      <w:t xml:space="preserve"> -- </w:t>
                    </w:r>
                    <w:r>
                      <w:rPr>
                        <w:rFonts w:cs="Arial" w:ascii="Arial" w:hAnsi="Arial"/>
                        <w:sz w:val="18"/>
                        <w:lang w:val="en-CA"/>
                      </w:rPr>
                      <w:t>9:54 AM</w:t>
                    </w:r>
                    <w:bookmarkEnd w:id="1"/>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7/X2005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2001-01-18T15:26:00Z</dcterms:created>
  <dc:creator>JWM</dc:creator>
  <dc:description/>
  <dc:language>en-CA</dc:language>
  <cp:lastModifiedBy>JWM</cp:lastModifiedBy>
  <cp:lastPrinted>2001-01-18T09:54:00Z</cp:lastPrinted>
  <dcterms:modified xsi:type="dcterms:W3CDTF">2001-01-18T15:26:00Z</dcterms:modified>
  <cp:revision>2</cp:revision>
  <dc:subject/>
  <dc:title/>
</cp:coreProperties>
</file>