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0"/>
        </w:numPr>
        <w:ind w:firstLine="1440" w:start="0"/>
        <w:jc w:val="center"/>
        <w:outlineLvl w:val="0"/>
        <w:rPr>
          <w:b/>
        </w:rPr>
      </w:pPr>
      <w:r>
        <w:rPr>
          <w:b/>
        </w:rPr>
        <w:t>ENRON PRESENTATION</w:t>
      </w:r>
    </w:p>
    <w:p>
      <w:pPr>
        <w:pStyle w:val="BodyText"/>
        <w:numPr>
          <w:ilvl w:val="0"/>
          <w:numId w:val="0"/>
        </w:numPr>
        <w:ind w:firstLine="1440" w:start="0"/>
        <w:jc w:val="center"/>
        <w:outlineLvl w:val="0"/>
        <w:rPr>
          <w:b/>
        </w:rPr>
      </w:pPr>
      <w:r>
        <w:rPr>
          <w:b/>
        </w:rPr>
        <w:t>CPUC EMERGENCY HEARINGS</w:t>
      </w:r>
    </w:p>
    <w:p>
      <w:pPr>
        <w:pStyle w:val="BodyText"/>
        <w:numPr>
          <w:ilvl w:val="0"/>
          <w:numId w:val="0"/>
        </w:numPr>
        <w:ind w:firstLine="1440" w:start="0"/>
        <w:jc w:val="center"/>
        <w:outlineLvl w:val="0"/>
        <w:rPr>
          <w:b/>
        </w:rPr>
      </w:pPr>
      <w:r>
        <w:rPr>
          <w:b/>
        </w:rPr>
        <w:t>December 27-28, 2000</w:t>
      </w:r>
    </w:p>
    <w:p>
      <w:pPr>
        <w:pStyle w:val="BodyText"/>
        <w:numPr>
          <w:ilvl w:val="0"/>
          <w:numId w:val="0"/>
        </w:numPr>
        <w:ind w:firstLine="1440" w:start="0"/>
        <w:jc w:val="center"/>
        <w:outlineLvl w:val="0"/>
        <w:rPr>
          <w:b/>
        </w:rPr>
      </w:pPr>
      <w:r>
        <w:rPr>
          <w:b/>
        </w:rPr>
        <w:t>A.00-11-038 et. al.</w:t>
      </w:r>
    </w:p>
    <w:p>
      <w:pPr>
        <w:pStyle w:val="BodyText"/>
        <w:ind w:hanging="0" w:end="0"/>
        <w:rPr>
          <w:b/>
        </w:rPr>
      </w:pPr>
      <w:r>
        <w:rPr>
          <w:b/>
        </w:rPr>
      </w:r>
    </w:p>
    <w:p>
      <w:pPr>
        <w:pStyle w:val="BodyText"/>
        <w:numPr>
          <w:ilvl w:val="0"/>
          <w:numId w:val="0"/>
        </w:numPr>
        <w:ind w:start="0" w:hanging="0" w:end="0"/>
        <w:outlineLvl w:val="0"/>
        <w:rPr>
          <w:b/>
          <w:u w:val="single"/>
        </w:rPr>
      </w:pPr>
      <w:r>
        <w:rPr>
          <w:b/>
          <w:u w:val="single"/>
        </w:rPr>
        <w:t>Summary of Key Legal Issues for the Commission’s Consideration</w:t>
      </w:r>
    </w:p>
    <w:p>
      <w:pPr>
        <w:pStyle w:val="BodyText"/>
        <w:ind w:hanging="0" w:end="0"/>
        <w:rPr>
          <w:b/>
          <w:u w:val="single"/>
        </w:rPr>
      </w:pPr>
      <w:r>
        <w:rPr>
          <w:b/>
          <w:u w:val="single"/>
        </w:rPr>
      </w:r>
    </w:p>
    <w:p>
      <w:pPr>
        <w:pStyle w:val="BodyText"/>
        <w:numPr>
          <w:ilvl w:val="0"/>
          <w:numId w:val="3"/>
        </w:numPr>
        <w:tabs>
          <w:tab w:val="left" w:pos="720" w:leader="none"/>
        </w:tabs>
        <w:rPr>
          <w:b/>
        </w:rPr>
      </w:pPr>
      <w:r>
        <w:rPr/>
        <w:t>The Commission may not raise rates for PG&amp;E and SCE until it finds that the utilities have recovered all commission-authorized transition costs—a process which necessarily requires the adoption by the Commission of a valuation for all retained generation assets.  Only then may the Commission declare the requirements of AB 1890 satisfied and end the rate freeze.</w:t>
      </w:r>
    </w:p>
    <w:p>
      <w:pPr>
        <w:pStyle w:val="BodyText"/>
        <w:numPr>
          <w:ilvl w:val="0"/>
          <w:numId w:val="3"/>
        </w:numPr>
        <w:tabs>
          <w:tab w:val="left" w:pos="720" w:leader="none"/>
        </w:tabs>
        <w:rPr>
          <w:b/>
        </w:rPr>
      </w:pPr>
      <w:r>
        <w:rPr/>
        <w:t>The Commission may find prospectively that the rate freeze has ended by virtue of adopting estimated values for retained generation, subject to additional hearings to confirm the valuation findings.</w:t>
      </w:r>
    </w:p>
    <w:p>
      <w:pPr>
        <w:pStyle w:val="BodyText"/>
        <w:numPr>
          <w:ilvl w:val="0"/>
          <w:numId w:val="3"/>
        </w:numPr>
        <w:tabs>
          <w:tab w:val="left" w:pos="720" w:leader="none"/>
        </w:tabs>
        <w:rPr>
          <w:b/>
        </w:rPr>
      </w:pPr>
      <w:r>
        <w:rPr/>
        <w:t>The Commission may not determine that the rate freeze has ended at an earlier date, thereby retroactively raising rates for all customers by imposing on them a substantial debt related to utility undercollections during the rate freeze.</w:t>
      </w:r>
    </w:p>
    <w:p>
      <w:pPr>
        <w:pStyle w:val="BodyText"/>
        <w:numPr>
          <w:ilvl w:val="0"/>
          <w:numId w:val="3"/>
        </w:numPr>
        <w:tabs>
          <w:tab w:val="left" w:pos="720" w:leader="none"/>
        </w:tabs>
        <w:rPr>
          <w:b/>
        </w:rPr>
      </w:pPr>
      <w:r>
        <w:rPr/>
        <w:t>Given the extraordinarily abbreviated procedures used by the Commission in this proceeding, only interim, subject-to-refund ratemaking may be accomplished, and the Commission should specifically set forth a procedure for making final decisions on valuation, transition cost ratemaking, and retention and ratemaking issues associated with generation assets still owned by the utilities.  Such procedures must accord all parties adequate time for preparation and participation in the necessary hearing in order to comply with due process.</w:t>
      </w:r>
    </w:p>
    <w:p>
      <w:pPr>
        <w:pStyle w:val="BodyText"/>
        <w:numPr>
          <w:ilvl w:val="0"/>
          <w:numId w:val="3"/>
        </w:numPr>
        <w:tabs>
          <w:tab w:val="left" w:pos="720" w:leader="none"/>
        </w:tabs>
        <w:rPr>
          <w:b/>
        </w:rPr>
      </w:pPr>
      <w:r>
        <w:rPr/>
        <w:t>Once the retained utility generation assets have been valued, such assets are to be free from regulation unless the Commission approves utility retention of the assets following a showing by the utility pursuant to P. U. Code §377 that such retention is in the public interest and would not confer any undue competitive advantage on the utility.  Any proposal for retention of utility generation to serve “native load” must take into account the impact on all customers, including direct access customers who have, like bundled customers, paid for the uneconomic costs of such generation assets.</w:t>
      </w:r>
    </w:p>
    <w:p>
      <w:pPr>
        <w:pStyle w:val="BodyText"/>
        <w:rPr>
          <w:b/>
        </w:rPr>
      </w:pPr>
      <w:r>
        <w:rPr>
          <w:b/>
        </w:rPr>
      </w:r>
    </w:p>
    <w:p>
      <w:pPr>
        <w:pStyle w:val="BodyText"/>
        <w:rPr>
          <w:b/>
        </w:rPr>
      </w:pPr>
      <w:r>
        <w:rPr>
          <w:b/>
        </w:rPr>
      </w:r>
    </w:p>
    <w:p>
      <w:pPr>
        <w:pStyle w:val="BodyText"/>
        <w:ind w:hanging="720" w:start="720" w:end="0"/>
        <w:rPr>
          <w:b/>
        </w:rPr>
      </w:pPr>
      <w:r>
        <w:rPr>
          <w:b/>
        </w:rPr>
        <w:t>I.</w:t>
        <w:tab/>
        <w:t>Emergency Rate Increases May Only Be Authorized Once the Commission Has Complied with the Requirements of AB 1890</w:t>
      </w:r>
    </w:p>
    <w:p>
      <w:pPr>
        <w:pStyle w:val="BodyText"/>
        <w:rPr/>
      </w:pPr>
      <w:r>
        <w:rPr/>
        <w:t>The Commission may not increase rates for customers of either PG&amp;E or SCE unless it complies with the provisions of P. U. Code §368(a), which specifies that the rate freeze adopted in AB 1890 shall stay in effect until “the later of March 31, 2002 or the date on which the commission-authorized costs for utility generation-related assets and obligations have been fully recovered.”  P. U. Code §367(b) provides that the calculation of transition costs must be made pursuant to a calculation in which the Commission shall net the positive and negative value of all utility-owned generation assets, and that the Commission shall make such a determination of value “in a proceeding under Section 455.5, 851, or otherwise”.  The Commission has yet to make such a determination.  Thus the rate freeze has not yet ended.</w:t>
      </w:r>
    </w:p>
    <w:p>
      <w:pPr>
        <w:pStyle w:val="BodyText"/>
        <w:rPr/>
      </w:pPr>
      <w:r>
        <w:rPr/>
        <w:t xml:space="preserve">The Commission may make an interim finding that the valuation of the retained utility assets is such that transition costs have been fully recovered, and order post-freeze ratemaking to take place, subject to additional proceedings to adopt more precise final valuations.  However, the Commission may not declare that the rate freeze has ended in the past, prior to its action in adopting valuations for the remaining utility generation assets.  Not only would such action be inconsistent with the provisions of AB 1890, it would violate the bar against retroactive ratemaking.  The utilities are seeking a retroactive end of the rate freeze to relieve them from the obligation “to be at risk for those costs not recovered during that time period [the transition during which rates are frozen].”  P. U. Code §368(a).  Declaring a retroactive end to the rate freeze opens the door for the utilities to seek recovery of past costs paid for wholesale power from ratepayers.  Recovery of such past costs in the absence of an approved balancing account or rate mechanism violates the doctrine against retroactive ratemaking as well as the provisions of AB 1890.  The Commission may only end the rate freeze prospectively.  </w:t>
      </w:r>
    </w:p>
    <w:p>
      <w:pPr>
        <w:pStyle w:val="BodyText"/>
        <w:ind w:hanging="0" w:end="0"/>
        <w:rPr/>
      </w:pPr>
      <w:r>
        <w:rPr/>
      </w:r>
    </w:p>
    <w:p>
      <w:pPr>
        <w:pStyle w:val="BodyText"/>
        <w:ind w:hanging="720" w:start="720" w:end="0"/>
        <w:rPr>
          <w:b/>
        </w:rPr>
      </w:pPr>
      <w:r>
        <w:rPr>
          <w:b/>
        </w:rPr>
        <w:t>II.</w:t>
        <w:tab/>
        <w:t>The Commission May Not Deprive Parties of Due Process, and Is Necessarily Limited to Adopting Interim Rate Relief, Subject to Further Proceedings Which Allow Parties A Reasonable Opportunity to Participate</w:t>
        <w:tab/>
      </w:r>
    </w:p>
    <w:p>
      <w:pPr>
        <w:pStyle w:val="BodyText"/>
        <w:rPr/>
      </w:pPr>
      <w:r>
        <w:rPr/>
        <w:t>The Commission is seeking to compress into a matter of days complex ratemaking decisions which include all of the following subjects: the valuation of billions of dollars of generation assets; the calculation of the total transition costs recovered by the utilities, which also involves many billions of dollars; the adoption of rate increases proposed by the utilities, which at least in the case of PG&amp;E would be the largest rate increases adopted by this Commission in over 20 years; and the ratemaking to be adopted for utility-owned generation which would be retained, including the rates to be charged for energy from two large nuclear plants, whose ratemaking treatment has been the subject of substantial litigation over the years.</w:t>
      </w:r>
    </w:p>
    <w:p>
      <w:pPr>
        <w:pStyle w:val="BodyText"/>
        <w:rPr/>
      </w:pPr>
      <w:r>
        <w:rPr/>
        <w:t>The Commission must recognize that both statutes, court decisions, and its own Rules of Practice and Procedure require that parties be given a reasonable opportunity to be heard in proceedings of such enormous importance and unequaled complexity.  Accordingly, in the course of emergency hearings on Dec. 27-28, 2000 in anticipation of issuing an order at the Commission’s January 4, 2001 meeting, the Commission must limit itself to interim orders, subject to further proceedings to confirm or modify the preliminary interim orders.  Any rate increase granted must be also be made subject to refund, in order to protect ratepayers from unnecessary rate increases adopted before a full and complete record can be prepared.</w:t>
      </w:r>
    </w:p>
    <w:p>
      <w:pPr>
        <w:pStyle w:val="BodyText"/>
        <w:rPr/>
      </w:pPr>
      <w:r>
        <w:rPr/>
        <w:t xml:space="preserve">As the Commission is acting primarily to respond to the urgent financial dilemma of PG&amp;E and SCE, on January 4, 2001 it need only take steps to adopt interim rate relief and set forth a responsible and expeditious plan for proceedings to make final decisions in each of these critical issue areas.  It is important for the utilities, ratepayers, and the financial community to understand that the Commission will act in accordance with the law to adopt orders which will adequately address the utilities’ financial condition.  Taking interim action and detailing the procedures to make final decisions is an essential step in that process. </w:t>
      </w:r>
    </w:p>
    <w:p>
      <w:pPr>
        <w:pStyle w:val="BodyText"/>
        <w:rPr/>
      </w:pPr>
      <w:r>
        <w:rPr/>
      </w:r>
    </w:p>
    <w:p>
      <w:pPr>
        <w:pStyle w:val="BodyText"/>
        <w:ind w:hanging="720" w:start="720" w:end="0"/>
        <w:rPr>
          <w:b/>
        </w:rPr>
      </w:pPr>
      <w:r>
        <w:rPr>
          <w:b/>
        </w:rPr>
        <w:t>III.</w:t>
        <w:tab/>
        <w:t>Any Decision Regarding Ratemaking for Retained Utility Generation Must Comply with the Requirements of P. U. Code §377--Including A Showing that the Retention Will Not Result in Undue Competitive Advantage</w:t>
      </w:r>
    </w:p>
    <w:p>
      <w:pPr>
        <w:pStyle w:val="BodyText"/>
        <w:rPr/>
      </w:pPr>
      <w:r>
        <w:rPr/>
        <w:t>Section 377 of the Public Utilities Code provides that the Commission shall only regulate utility generation until such assets are subject to market valuation, which includes the appraisal, sale, or other divestiture options specified in Section 367(b).  After such valuation, if the utility seeks to retain such an asset, it is required to make a showing to the Commission that it would be consistent with the public interest and not confer undue competitive advantage on the utility.  There is substantial potential for direct access customers and direct access providers to be materially prejudiced by some of the ratemaking proposals set forth in the Rate Stabilization Plans of the utilities.  Direct access customers, like those customers who still receive bundled utility service, have paid transition cost surcharges since the inception of the rate freeze in order to allow the utilities to recover tens of billions of dollars of uneconomic investment in generation.  Proposals to retain substantial generation assets and to allocate cost-based generation only to bundled service customers openly discriminate against direct access customers and providers and provide the utilities with not only undue competitive advantage, but total competitive hegemony under the current market conditions.  No such proposals can be adopted until the Commission holds a full and fair hearing on the retention proposals pursuant to Section 377.  Alternatively, there are several means to bring the benefits of cost-based utility generation to ratepayers,  while not disturbing the current retail markets.  These include permitting direct access customers to have access to a proportional share of retained generation assets for some transition period, or at least the financial benefit of such access.</w:t>
      </w:r>
    </w:p>
    <w:p>
      <w:pPr>
        <w:pStyle w:val="BodyText"/>
        <w:ind w:hanging="720" w:start="720" w:end="0"/>
        <w:rPr/>
      </w:pPr>
      <w:r>
        <w:rPr/>
      </w:r>
    </w:p>
    <w:p>
      <w:pPr>
        <w:pStyle w:val="BodyText"/>
        <w:rPr/>
      </w:pPr>
      <w:r>
        <w:rPr/>
      </w:r>
    </w:p>
    <w:p>
      <w:pPr>
        <w:pStyle w:val="Normal"/>
        <w:spacing w:lineRule="exact" w:line="200" w:before="240" w:after="0"/>
        <w:rPr/>
      </w:pPr>
      <w:r>
        <w:rPr>
          <w:rStyle w:val="zzmpTrailerItem"/>
        </w:rPr>
        <w:t>2704/118/X19418-1</w:t>
      </w:r>
      <w:r>
        <w:rPr/>
        <w:t xml:space="preserve"> </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DOC_ID" w:val="2704/118/X19418-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lineRule="exact" w:line="240" w:before="0" w:after="12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ind w:hanging="720" w:start="720" w:end="0"/>
    </w:pPr>
    <w:rPr/>
  </w:style>
  <w:style w:type="paragraph" w:styleId="ListBullet">
    <w:name w:val="List Bullet"/>
    <w:basedOn w:val="Normal"/>
    <w:qFormat/>
    <w:pPr>
      <w:numPr>
        <w:ilvl w:val="0"/>
        <w:numId w:val="2"/>
      </w:numPr>
      <w:tabs>
        <w:tab w:val="left" w:pos="720" w:leader="none"/>
      </w:tabs>
      <w:spacing w:before="0" w:after="240"/>
      <w:ind w:hanging="720" w:start="144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2000-12-27T04:58:00Z</dcterms:created>
  <dc:creator>Michael B. Day</dc:creator>
  <dc:description/>
  <dc:language>en-CA</dc:language>
  <cp:lastModifiedBy>Michael B. Day</cp:lastModifiedBy>
  <cp:lastPrinted>2000-12-26T23:23:00Z</cp:lastPrinted>
  <dcterms:modified xsi:type="dcterms:W3CDTF">2000-12-27T04:58:00Z</dcterms:modified>
  <cp:revision>2</cp:revision>
  <dc:subject/>
  <dc:title/>
</cp:coreProperties>
</file>