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480" w:before="0" w:after="72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end w:val="single" w:sz="6" w:space="0" w:color="000000"/>
            </w:tcBorders>
          </w:tcPr>
          <w:p>
            <w:pPr>
              <w:pStyle w:val="Normal"/>
              <w:spacing w:before="0" w:after="240"/>
              <w:rPr/>
            </w:pPr>
            <w:r>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t xml:space="preserve">               </w:t>
            </w:r>
            <w:r>
              <w:rPr/>
              <w:t>I.99-07-003</w:t>
            </w:r>
          </w:p>
        </w:tc>
      </w:tr>
    </w:tbl>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numPr>
          <w:ilvl w:val="0"/>
          <w:numId w:val="0"/>
        </w:numPr>
        <w:jc w:val="center"/>
        <w:outlineLvl w:val="0"/>
        <w:rPr>
          <w:b/>
        </w:rPr>
      </w:pPr>
      <w:r>
        <w:rPr>
          <w:b/>
        </w:rPr>
        <w:t>COMMENTS OF WILD GOOSE STORAGE INC.</w:t>
      </w:r>
    </w:p>
    <w:p>
      <w:pPr>
        <w:pStyle w:val="Normal"/>
        <w:numPr>
          <w:ilvl w:val="0"/>
          <w:numId w:val="0"/>
        </w:numPr>
        <w:jc w:val="center"/>
        <w:outlineLvl w:val="0"/>
        <w:rPr>
          <w:b/>
        </w:rPr>
      </w:pPr>
      <w:r>
        <w:rPr>
          <w:b/>
        </w:rPr>
        <w:t>ON THE PROPOSED DECISION</w:t>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tbl>
      <w:tblPr>
        <w:tblW w:w="10170" w:type="dxa"/>
        <w:jc w:val="start"/>
        <w:tblInd w:w="0" w:type="dxa"/>
        <w:tblLayout w:type="fixed"/>
        <w:tblCellMar>
          <w:top w:w="0" w:type="dxa"/>
          <w:start w:w="0" w:type="dxa"/>
          <w:bottom w:w="0" w:type="dxa"/>
          <w:end w:w="0" w:type="dxa"/>
        </w:tblCellMar>
      </w:tblPr>
      <w:tblGrid>
        <w:gridCol w:w="5130"/>
        <w:gridCol w:w="5040"/>
      </w:tblGrid>
      <w:tr>
        <w:trPr/>
        <w:tc>
          <w:tcPr>
            <w:tcW w:w="5130" w:type="dxa"/>
            <w:tcBorders/>
            <w:vAlign w:val="bottom"/>
          </w:tcPr>
          <w:p>
            <w:pPr>
              <w:pStyle w:val="Normal"/>
              <w:spacing w:before="120" w:after="0"/>
              <w:rPr/>
            </w:pPr>
            <w:r>
              <w:rPr/>
              <w:t>Date:  December 11, 2000</w:t>
            </w:r>
          </w:p>
        </w:tc>
        <w:tc>
          <w:tcPr>
            <w:tcW w:w="5040" w:type="dxa"/>
            <w:tcBorders/>
            <w:vAlign w:val="bottom"/>
          </w:tcPr>
          <w:p>
            <w:pPr>
              <w:pStyle w:val="Normal"/>
              <w:rPr/>
            </w:pPr>
            <w:r>
              <w:rPr/>
              <w:t>GOODIN, MACBRIDE, SQUERI,</w:t>
              <w:br/>
              <w:t>RITCHIE &amp; DAY, LLP</w:t>
            </w:r>
          </w:p>
          <w:p>
            <w:pPr>
              <w:pStyle w:val="Normal"/>
              <w:rPr/>
            </w:pPr>
            <w:r>
              <w:rPr/>
              <w:t>Michael B. Day</w:t>
            </w:r>
          </w:p>
          <w:p>
            <w:pPr>
              <w:pStyle w:val="Normal"/>
              <w:rPr/>
            </w:pPr>
            <w:r>
              <w:rPr/>
              <w:t>505 Sansome Street, Suite 900</w:t>
              <w:br/>
              <w:t>San Francisco, CA  94111</w:t>
              <w:br/>
              <w:t>Telephone:</w:t>
              <w:tab/>
              <w:t>(415) 392-7900</w:t>
              <w:br/>
              <w:t>Facsimile:</w:t>
              <w:tab/>
              <w:t>(415) 398-4321</w:t>
            </w:r>
          </w:p>
          <w:p>
            <w:pPr>
              <w:pStyle w:val="Normal"/>
              <w:spacing w:before="240" w:after="0"/>
              <w:rPr/>
            </w:pPr>
            <w:r>
              <w:rPr/>
              <w:t>Attorneys for Wild Goose Storage Inc.</w:t>
            </w:r>
          </w:p>
        </w:tc>
      </w:tr>
    </w:tbl>
    <w:p>
      <w:pPr>
        <w:sectPr>
          <w:headerReference w:type="default" r:id="rId2"/>
          <w:headerReference w:type="first" r:id="rId3"/>
          <w:footerReference w:type="default" r:id="rId4"/>
          <w:footerReference w:type="first" r:id="rId5"/>
          <w:type w:val="nextPage"/>
          <w:pgSz w:w="12240" w:h="15840"/>
          <w:pgMar w:left="1440" w:right="1440" w:gutter="0" w:header="432" w:top="1440" w:footer="360" w:bottom="1440"/>
          <w:pgNumType w:fmt="decimal"/>
          <w:formProt w:val="false"/>
          <w:titlePg/>
          <w:textDirection w:val="lrTb"/>
          <w:docGrid w:type="default" w:linePitch="360" w:charSpace="0"/>
        </w:sectPr>
      </w:pPr>
    </w:p>
    <w:p>
      <w:pPr>
        <w:pStyle w:val="Normal"/>
        <w:spacing w:lineRule="exact" w:line="480" w:before="0" w:after="72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end w:val="single" w:sz="6" w:space="0" w:color="000000"/>
            </w:tcBorders>
          </w:tcPr>
          <w:p>
            <w:pPr>
              <w:pStyle w:val="Normal"/>
              <w:spacing w:before="0" w:after="240"/>
              <w:rPr/>
            </w:pPr>
            <w:r>
              <w:rPr/>
              <w:t>. Investigation on the Commission’s Own Motion to Consider the Costs and Benefits of Various Promising Revisions to the Regulatory and Market Structure Governing California’s Natural Gas Industry and to Report to the California Legislature on the Commission’s Findings.</w:t>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r>
          </w:p>
          <w:p>
            <w:pPr>
              <w:pStyle w:val="Normal"/>
              <w:tabs>
                <w:tab w:val="clear" w:pos="720"/>
                <w:tab w:val="left" w:pos="1872" w:leader="none"/>
              </w:tabs>
              <w:rPr/>
            </w:pPr>
            <w:r>
              <w:rPr/>
              <w:t xml:space="preserve">             </w:t>
            </w:r>
            <w:r>
              <w:rPr/>
              <w:t>I.99-07-003</w:t>
            </w:r>
          </w:p>
        </w:tc>
      </w:tr>
    </w:tbl>
    <w:p>
      <w:pPr>
        <w:pStyle w:val="Normal"/>
        <w:rPr/>
      </w:pPr>
      <w:r>
        <w:rPr/>
      </w:r>
    </w:p>
    <w:p>
      <w:pPr>
        <w:pStyle w:val="Normal"/>
        <w:rPr/>
      </w:pPr>
      <w:r>
        <w:rPr/>
      </w:r>
    </w:p>
    <w:p>
      <w:pPr>
        <w:pStyle w:val="BodyText"/>
        <w:rPr/>
      </w:pPr>
      <w:r>
        <w:rPr/>
      </w:r>
    </w:p>
    <w:p>
      <w:pPr>
        <w:pStyle w:val="Normal"/>
        <w:numPr>
          <w:ilvl w:val="0"/>
          <w:numId w:val="0"/>
        </w:numPr>
        <w:jc w:val="center"/>
        <w:outlineLvl w:val="0"/>
        <w:rPr>
          <w:b/>
        </w:rPr>
      </w:pPr>
      <w:r>
        <w:rPr>
          <w:b/>
        </w:rPr>
        <w:t>COMMENTS OF WILD GOOSE STORAGE INC.</w:t>
      </w:r>
    </w:p>
    <w:p>
      <w:pPr>
        <w:pStyle w:val="Normal"/>
        <w:numPr>
          <w:ilvl w:val="0"/>
          <w:numId w:val="0"/>
        </w:numPr>
        <w:jc w:val="center"/>
        <w:outlineLvl w:val="0"/>
        <w:rPr>
          <w:b/>
        </w:rPr>
      </w:pPr>
      <w:r>
        <w:rPr>
          <w:b/>
        </w:rPr>
        <w:t>ON THE PROPOSED DECISION</w:t>
      </w:r>
    </w:p>
    <w:p>
      <w:pPr>
        <w:pStyle w:val="BodyText"/>
        <w:rPr>
          <w:b/>
        </w:rPr>
      </w:pPr>
      <w:r>
        <w:rPr>
          <w:b/>
        </w:rPr>
      </w:r>
    </w:p>
    <w:p>
      <w:pPr>
        <w:pStyle w:val="Normal"/>
        <w:spacing w:lineRule="auto" w:line="480"/>
        <w:ind w:firstLine="1440" w:end="0"/>
        <w:rPr/>
      </w:pPr>
      <w:r>
        <w:rPr/>
        <w:t xml:space="preserve">Wild Goose Storage Inc. (WGSI) herewith submits its comments on the Proposed Decision in the Gas Industry Restructuring Investigation (commonly referred to as the “GRI proceeding”) in compliance with Rule 77 of the Commission’s Rules of Practice and Procedure.  WGSI was a signatory to the Comprehensive Settlement Agreement (“CSA”), filed in the above-captioned proceeding on April 17, 2000.  Consequently, WGSI is naturally extremely concerned that the Proposed Decision declines to adopt the CSA, and instead proposes to adopt the Interim Settlement (which WGSI did not support) and to adopt various other elements of various settlements with regard to retail market issues and core interstate capacity unbundling.  WGSI believes that the Commission should adopt the CSA, and by so doing bring a uniform and consistent regulatory framework to the entire State of California.  </w:t>
      </w:r>
    </w:p>
    <w:p>
      <w:pPr>
        <w:pStyle w:val="Normal"/>
        <w:spacing w:lineRule="auto" w:line="480"/>
        <w:ind w:firstLine="1440" w:end="0"/>
        <w:rPr/>
      </w:pPr>
      <w:r>
        <w:rPr/>
        <w:t xml:space="preserve">WGSI believes that the  Proposed Decision fails to address the underlying problems in the southern California gas market.  The Interim Settlement produces little change in the critical areas of transmission, storage and balancing services.  It does adopt new “windowing” procedures for allocating capacity on the SoCalGas interconnection points, but it falls woefully short of giving customers the certainty they would have under the CSA.   For example, under the CSA customers would have the opportunity to bid for firm capacity at the existing SoCalGas interconnection points.  They could also contract for firm intrastate capacity using one of two rate designs (SFV rate design or 50% fixed-50% volumetric rate design), and they would be able to take interruptible capacity priced at rates capped at 120% of the standard firm service rate.  In addition, storage would be substantially unbundled for core customers as well as noncore customers.  Finally, customers could either retain their existing balancing flexibility (up to 10% imbalance monthly) or reduce their balancing charges in exchange for a more restrictive daily balancing system similar to that adopted on the PG&amp;E system.  These new options and services all provide customers with new and important tools for managing their gas supply.  The firm interconnection rights and firm intrastate capacity, in particular, will give customers a degree of certainty about the delivery of their gas that has been desperately needed in southern California so far.   Another advantage of the CSA is the ability of all customers to buy and sell gas at a true citygate market, instead of only at the border.  As detailed in the testimony of witness Tom Beach for Watson Cogeneration, citygate prices on the PG&amp;E system, which is already operating under the type of unbundled system proposed in the CSA, are consistently more attractive than the prices at the Arizona border plus Baja path transportation charges.  </w:t>
      </w:r>
    </w:p>
    <w:p>
      <w:pPr>
        <w:pStyle w:val="Normal"/>
        <w:spacing w:lineRule="auto" w:line="480"/>
        <w:ind w:firstLine="1440" w:end="0"/>
        <w:rPr/>
      </w:pPr>
      <w:r>
        <w:rPr/>
        <w:t xml:space="preserve">As recent headlines and gas bills have demonstrated, gas prices are currently uncharacteristically high throughout California, including southern California.  However, rather than providing gas consumers with the tools to help control or reduce these costs, the Proposed Decision would put off these important reforms for at least two years, or perhaps indefinitely.  The ability to obtain firm intra-state gas transmission capacity, to access lower citygate gas prices in southern California, to reduce costs through improved balancing options, and to create a more efficient gas storage market—each of which is a vital tool for customers to control and mitigate their risk of gas cost increases—may be lost permanently if the Commission and the parties cannot resurrect this settlement at some uncertain time in the future. </w:t>
      </w:r>
    </w:p>
    <w:p>
      <w:pPr>
        <w:pStyle w:val="Normal"/>
        <w:spacing w:lineRule="auto" w:line="480"/>
        <w:ind w:firstLine="1440" w:end="0"/>
        <w:rPr/>
      </w:pPr>
      <w:r>
        <w:rPr/>
        <w:t xml:space="preserve">In the view of WGSI, the Commission can adopt the provisions of the CSA with a great deal of confidence as the basic framework of the CSA is almost entirely based on the industry structure that was unanimously approved by the Commission for use on the Pacific Gas &amp; Electric Company (PG&amp;E) system in two separate settlements earlier this year.   It is crucial that the Commission understand that the unbundled gas transportation and storage system in operation on PG&amp;E’s system is working as it was designed to work, without disruption, even during these unprecedented  periods of high prices.  Notwithstanding the general upward thrust of gas prices, PG&amp;E Citygate prices continue to be lower than border prices for Southwest gas coming onto the PG&amp;E system, directly contradicting the implication of the Proposed Decision. </w:t>
      </w:r>
    </w:p>
    <w:p>
      <w:pPr>
        <w:pStyle w:val="Normal"/>
        <w:spacing w:lineRule="auto" w:line="480"/>
        <w:ind w:firstLine="1440" w:end="0"/>
        <w:rPr/>
      </w:pPr>
      <w:r>
        <w:rPr/>
        <w:t xml:space="preserve">The Proposed Decision is apparently concerned that recent price increases in California border price of gas mean that the benefits of citygate pricing may not be seen in southern California.  WGSI is concerned that the analysis contained in the Proposed Decision does not properly account for the actual prices in the marketplace.  PG&amp;E citygate prices are still attractive to customers compared to border prices on both the Redwood and Baja paths.  WGSI believes that Watson Cogeneration will submit additional information regarding these prices in its comments. </w:t>
      </w:r>
    </w:p>
    <w:p>
      <w:pPr>
        <w:pStyle w:val="Normal"/>
        <w:spacing w:lineRule="auto" w:line="480"/>
        <w:ind w:firstLine="1440" w:end="0"/>
        <w:rPr/>
      </w:pPr>
      <w:r>
        <w:rPr/>
        <w:t xml:space="preserve">More to the point, the parties have never had an opportunity to directly respond to the Proposed Decision’s concerns about prices before it was released.  While the Proposed Decision appears to reject the Comprehensive Settlement Agreement based in large part on its conclusions about the latest gas price data, as well as speculation about the effect of recent changes in the federal regulation of interstate pipeline capacity used to ship gas to California, none of these matters were addressed in the record of the proceeding.  WGSI is concerned that the Commission may commit legal error if it rejects the CSA on the basis of matters not in the record, particularly when it appears that the parties can demonstrate that the Proposed Decision’s conclusions regarding this new evidence are factually wrong. </w:t>
      </w:r>
    </w:p>
    <w:p>
      <w:pPr>
        <w:pStyle w:val="Normal"/>
        <w:spacing w:lineRule="auto" w:line="480"/>
        <w:ind w:firstLine="1440" w:end="0"/>
        <w:rPr/>
      </w:pPr>
      <w:r>
        <w:rPr/>
        <w:t xml:space="preserve"> </w:t>
      </w:r>
      <w:r>
        <w:rPr/>
        <w:t>Like many parties, WGSI placed great importance on the CSA as the means for adopting a gas market structure for SoCalGas which is consistent with the one unanimously approved by the Commission for PG&amp;E.  Gas market rules which are consistent statewide  will greatly assist customers and gas marketers alike in quickly and efficiently entering into and completing transactions.  If the CSA is not adopted, we may have lost the chance for statewide consistency in gas regulation for a substantial period of time.   If substantial differences in gas transportation, storage and balancing rules persist, there is a likelihood that there will be increased distortions in the price of electricity between northern and southern California, at a time when the Commission is seeking to eliminate differences due to a mismatch between the pricing of gas and electricity.  D.00-04-060 at 51.</w:t>
      </w:r>
    </w:p>
    <w:p>
      <w:pPr>
        <w:pStyle w:val="Normal"/>
        <w:spacing w:lineRule="auto" w:line="480"/>
        <w:rPr/>
      </w:pPr>
      <w:r>
        <w:rPr/>
        <w:tab/>
        <w:tab/>
        <w:t>As explained above, a rejection of the CSA at this point will have the effect of discouraging the  parties from expending the effort to reach such broad-based and contentious settlements in the future.  The Commission gave the parties in this case clear instructions:  reach a broad-based settlement addressing the so-called “Promising Options” set out in D. 99-07-015, and it also expressed a preference for the PG&amp;E model.  The Comprehensive Settlement parties expended a tremendous amount of effort to provide the Commission with the settlement it had asked for.  Instead of being rewarded for their efforts, these parties have seen the Proposed Decision reject the very result the Commission asked for.</w:t>
      </w:r>
    </w:p>
    <w:p>
      <w:pPr>
        <w:pStyle w:val="Normal"/>
        <w:spacing w:lineRule="auto" w:line="480"/>
        <w:rPr/>
      </w:pPr>
      <w:r>
        <w:rPr/>
        <w:tab/>
        <w:tab/>
        <w:t>As the Commission is aware, this proceeding has followed a long and drawn out path, largely because the Commission has repeatedly asked parties to shift from one type of procedure to another.  What began as a Rulemaking proceeding in January of 1998</w:t>
      </w:r>
      <w:r>
        <w:rPr>
          <w:rStyle w:val="FootnoteCharacters"/>
          <w:rStyle w:val="FootnoteReference"/>
        </w:rPr>
        <w:footnoteReference w:id="2"/>
      </w:r>
      <w:r>
        <w:rPr/>
        <w:t xml:space="preserve"> and proceeded through several rounds of written and oral comments before the Commission then changed to series of very lengthy workshops on statewide consistency and safety issues related to metering and billing.  The Commission did not act directly on either the parties’ comments or the reports which were the products of these workshops and instead called for evidentiary hearings, which took place in January of 1999.  At the very end of the proceeding, in oral argument before the full Commission, several commissioners declared their unwillingness to issue a decision on the merits unless the parties could reach a settlement on the key issues.  As a result, D. 99-07-015 did not resolve the major issues related to unbundling gas services, and instead provided a list of promising options for the parties to address in settlement talks.  </w:t>
      </w:r>
    </w:p>
    <w:p>
      <w:pPr>
        <w:pStyle w:val="Normal"/>
        <w:spacing w:lineRule="auto" w:line="480"/>
        <w:ind w:firstLine="1440" w:end="0"/>
        <w:rPr/>
      </w:pPr>
      <w:r>
        <w:rPr/>
        <w:t>From that point on, the parties worked diligently to achieve settlements which were acceptable to the Commission.  Two settlements involving PG&amp;E and the stakeholders on its system were reached, both of which built upon the unbundling accomplished in the PG&amp;E Gas Accord.  These settlements were approved unanimously by the Commission earlier this year.  The struggle to obtain a similar settlement relating to southern California was far more difficult, as the basic unbundling issues had not been addressed yet on the SoCalGas system.  On several occasions, the Assigned Commissioner and the Administrative Law Judge strongly urged the parties to not give up, but to redouble their efforts to produce a settlement which addressed all of the promising options set out in D.99-07-015, and to focus on the model which had been successfully adopted on the PG&amp;E system.  After several false starts, including the issuance of competing settlements by various coalitions, the vast majority of the parties in the case persevered and reached agreement on the Comprehensive Settlement Agreement on April 17, 2000.  A competing settlement was also filed.</w:t>
      </w:r>
      <w:r>
        <w:rPr>
          <w:rStyle w:val="FootnoteCharacters"/>
          <w:rStyle w:val="FootnoteReference"/>
        </w:rPr>
        <w:footnoteReference w:id="3"/>
      </w:r>
      <w:r>
        <w:rPr/>
        <w:t xml:space="preserve">   Following evidentiary hearings to support the settlements and briefs, the case was submitted. </w:t>
      </w:r>
    </w:p>
    <w:p>
      <w:pPr>
        <w:pStyle w:val="Normal"/>
        <w:spacing w:lineRule="auto" w:line="480"/>
        <w:ind w:firstLine="1440" w:end="0"/>
        <w:rPr/>
      </w:pPr>
      <w:r>
        <w:rPr/>
        <w:t xml:space="preserve">WGSI still supports the Comprehensive Settlement Agreement.  It believes that the Commission did the correct thing in approving the PG&amp;E settlements and urging the parties to reach a similar settlement for the SoCalGas system.  Having delivered exactly the type of settlement which was the goal of this lengthy proceeding—one which is consistent with statewide gas service regulations, resolves all of the crucial promising options identified by the Commission, and one which has the support of every single major segment of the gas industry, including residential customers, industrial customers, generators, pipelines, electric and gas utilities, storage providers, and marketers—WGSI can reach only one conclusion:  the Commission should prepare an alternate to the Proposed Decision and approve the CSA. </w:t>
      </w:r>
    </w:p>
    <w:p>
      <w:pPr>
        <w:pStyle w:val="BodyText"/>
        <w:rPr/>
      </w:pPr>
      <w:r>
        <w:rPr/>
        <w:t xml:space="preserve">Completion of the gas restructuring process begun over a decade ago would be a significant accomplishment for the Commission.  More to the point, as the Commission faces the challenges that high gas and electric prices and shortages of energy and capacity have brought to the state, it will be a significant benefit, not a burden, to have a uniform, consistent statewide gas transmission, storage and balancing system in place on both of the major gas utilities.   Whatever the solutions are required to address the serious problems ahead of the Commission, it will be able to take advantage of the solid foundation provided by the CSA and parallel provisions in PG&amp;E tariffs.  For all of the above reasons, WGSI urges the Commission to adopt the CSA in this proceeding and at this time. </w:t>
      </w:r>
    </w:p>
    <w:p>
      <w:pPr>
        <w:pStyle w:val="BodyText"/>
        <w:keepNext w:val="true"/>
        <w:rPr/>
      </w:pPr>
      <w:r>
        <w:rPr/>
        <w:t>Respectfully submitted this December 11, 2000 at San Francisco, California.</w:t>
      </w:r>
    </w:p>
    <w:p>
      <w:pPr>
        <w:pStyle w:val="PleadingSignature"/>
        <w:spacing w:before="240" w:after="0"/>
        <w:rPr/>
      </w:pPr>
      <w:r>
        <w:rPr/>
        <w:t>GOODIN, MACBRIDE, SQUERI,</w:t>
        <w:br/>
        <w:t>RITCHIE &amp; DAY, LLP</w:t>
      </w:r>
    </w:p>
    <w:p>
      <w:pPr>
        <w:pStyle w:val="PleadingSignature"/>
        <w:rPr/>
      </w:pPr>
      <w:r>
        <w:rPr/>
        <w:t>Michael B. Day</w:t>
      </w:r>
    </w:p>
    <w:p>
      <w:pPr>
        <w:pStyle w:val="PleadingSignature"/>
        <w:tabs>
          <w:tab w:val="left" w:pos="5126" w:leader="none"/>
          <w:tab w:val="left" w:pos="6480" w:leader="none"/>
          <w:tab w:val="right" w:pos="9360" w:leader="none"/>
        </w:tabs>
        <w:rPr/>
      </w:pPr>
      <w:r>
        <w:rPr/>
        <w:t>505 Sansome Street, Suite 900</w:t>
        <w:br/>
        <w:t>San Francisco, California  94111</w:t>
        <w:br/>
        <w:t>Telephone:</w:t>
        <w:tab/>
        <w:t>(415) 392-7900</w:t>
        <w:br/>
        <w:t>Facsimile:</w:t>
        <w:tab/>
        <w:t>(415) 398-4321</w:t>
      </w:r>
    </w:p>
    <w:p>
      <w:pPr>
        <w:pStyle w:val="PleadingSignature"/>
        <w:spacing w:before="720" w:after="0"/>
        <w:rPr/>
      </w:pPr>
      <w:r>
        <w:rPr/>
        <w:t>By</w:t>
      </w:r>
    </w:p>
    <w:p>
      <w:pPr>
        <w:pStyle w:val="PleadingSignature"/>
        <w:pBdr>
          <w:top w:val="single" w:sz="4" w:space="1" w:color="000000"/>
        </w:pBdr>
        <w:tabs>
          <w:tab w:val="left" w:pos="5126" w:leader="none"/>
          <w:tab w:val="left" w:pos="5846" w:leader="none"/>
          <w:tab w:val="right" w:pos="9360" w:leader="none"/>
        </w:tabs>
        <w:ind w:start="5486" w:end="120"/>
        <w:rPr/>
      </w:pPr>
      <w:r>
        <w:rPr/>
        <w:tab/>
        <w:t>Michael B. Day</w:t>
      </w:r>
    </w:p>
    <w:p>
      <w:pPr>
        <w:pStyle w:val="PleadingSignature"/>
        <w:spacing w:before="240" w:after="0"/>
        <w:ind w:end="120"/>
        <w:rPr/>
      </w:pPr>
      <w:r>
        <w:rPr/>
        <w:t>Attorneys for  Wild Goose Storage Inc.</w:t>
      </w:r>
    </w:p>
    <w:p>
      <w:pPr>
        <w:pStyle w:val="Normal"/>
        <w:rPr/>
      </w:pPr>
      <w:r>
        <w:rPr/>
      </w:r>
    </w:p>
    <w:p>
      <w:pPr>
        <w:pStyle w:val="Normal"/>
        <w:spacing w:lineRule="exact" w:line="200" w:before="240" w:after="0"/>
        <w:rPr/>
      </w:pPr>
      <w:r>
        <w:rPr>
          <w:rStyle w:val="zzmpTrailerItem"/>
        </w:rPr>
        <w:t>2715/016/X19039-1</w:t>
      </w:r>
      <w:r>
        <w:rPr/>
        <w:t xml:space="preserve"> </w:t>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432" w:top="1440" w:footer="36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40" w:type="dxa"/>
      <w:jc w:val="start"/>
      <w:tblInd w:w="0" w:type="dxa"/>
      <w:tblLayout w:type="fixed"/>
      <w:tblCellMar>
        <w:top w:w="0" w:type="dxa"/>
        <w:start w:w="0" w:type="dxa"/>
        <w:bottom w:w="0" w:type="dxa"/>
        <w:end w:w="0" w:type="dxa"/>
      </w:tblCellMar>
    </w:tblPr>
    <w:tblGrid>
      <w:gridCol w:w="4265"/>
      <w:gridCol w:w="810"/>
      <w:gridCol w:w="4265"/>
    </w:tblGrid>
    <w:tr>
      <w:trPr/>
      <w:tc>
        <w:tcPr>
          <w:tcW w:w="4265" w:type="dxa"/>
          <w:tcBorders/>
        </w:tcPr>
        <w:p>
          <w:pPr>
            <w:pStyle w:val="Footer"/>
            <w:snapToGrid w:val="false"/>
            <w:ind w:start="-86" w:end="0"/>
            <w:rPr/>
          </w:pPr>
          <w:r>
            <w:rPr/>
          </w:r>
        </w:p>
      </w:tc>
      <w:tc>
        <w:tcPr>
          <w:tcW w:w="810" w:type="dxa"/>
          <w:tcBorders/>
        </w:tcPr>
        <w:p>
          <w:pPr>
            <w:pStyle w:val="Footer"/>
            <w:spacing w:before="240" w:after="0"/>
            <w:ind w:start="-86" w:end="0"/>
            <w:jc w:val="end"/>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p>
      </w:tc>
      <w:tc>
        <w:tcPr>
          <w:tcW w:w="4265" w:type="dxa"/>
          <w:tcBorders/>
        </w:tcPr>
        <w:p>
          <w:pPr>
            <w:pStyle w:val="Footer"/>
            <w:tabs>
              <w:tab w:val="center" w:pos="4320" w:leader="none"/>
              <w:tab w:val="right" w:pos="5014" w:leader="none"/>
              <w:tab w:val="right" w:pos="9360" w:leader="none"/>
            </w:tabs>
            <w:snapToGrid w:val="false"/>
            <w:ind w:start="259" w:end="0"/>
            <w:jc w:val="end"/>
            <w:rPr>
              <w:rStyle w:val="PageNumber"/>
              <w:sz w:val="20"/>
            </w:rPr>
          </w:pPr>
          <w:r>
            <w:rPr/>
          </w:r>
        </w:p>
      </w:tc>
    </w:tr>
  </w:tbl>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40" w:type="dxa"/>
      <w:jc w:val="start"/>
      <w:tblInd w:w="0" w:type="dxa"/>
      <w:tblLayout w:type="fixed"/>
      <w:tblCellMar>
        <w:top w:w="0" w:type="dxa"/>
        <w:start w:w="0" w:type="dxa"/>
        <w:bottom w:w="0" w:type="dxa"/>
        <w:end w:w="0" w:type="dxa"/>
      </w:tblCellMar>
    </w:tblPr>
    <w:tblGrid>
      <w:gridCol w:w="4265"/>
      <w:gridCol w:w="810"/>
      <w:gridCol w:w="4265"/>
    </w:tblGrid>
    <w:tr>
      <w:trPr/>
      <w:tc>
        <w:tcPr>
          <w:tcW w:w="4265" w:type="dxa"/>
          <w:tcBorders/>
        </w:tcPr>
        <w:p>
          <w:pPr>
            <w:pStyle w:val="Footer"/>
            <w:snapToGrid w:val="false"/>
            <w:ind w:start="-86" w:end="0"/>
            <w:rPr/>
          </w:pPr>
          <w:r>
            <w:rPr/>
          </w:r>
        </w:p>
      </w:tc>
      <w:tc>
        <w:tcPr>
          <w:tcW w:w="810" w:type="dxa"/>
          <w:tcBorders/>
        </w:tcPr>
        <w:p>
          <w:pPr>
            <w:pStyle w:val="Footer"/>
            <w:spacing w:before="240" w:after="0"/>
            <w:ind w:start="-86" w:end="0"/>
            <w:jc w:val="end"/>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p>
      </w:tc>
      <w:tc>
        <w:tcPr>
          <w:tcW w:w="4265" w:type="dxa"/>
          <w:tcBorders/>
        </w:tcPr>
        <w:p>
          <w:pPr>
            <w:pStyle w:val="Footer"/>
            <w:tabs>
              <w:tab w:val="center" w:pos="4320" w:leader="none"/>
              <w:tab w:val="right" w:pos="5014" w:leader="none"/>
              <w:tab w:val="right" w:pos="9360" w:leader="none"/>
            </w:tabs>
            <w:snapToGrid w:val="false"/>
            <w:ind w:start="259" w:end="0"/>
            <w:jc w:val="end"/>
            <w:rPr>
              <w:rStyle w:val="PageNumber"/>
              <w:sz w:val="20"/>
            </w:rPr>
          </w:pPr>
          <w:r>
            <w:rPr/>
          </w:r>
        </w:p>
      </w:tc>
    </w:tr>
  </w:tbl>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R.98-01-011</w:t>
      </w:r>
    </w:p>
  </w:footnote>
  <w:footnote w:id="3">
    <w:p>
      <w:pPr>
        <w:pStyle w:val="FootnoteText"/>
        <w:rPr/>
      </w:pPr>
      <w:r>
        <w:rPr>
          <w:rStyle w:val="FootnoteCharacters"/>
        </w:rPr>
        <w:footnoteRef/>
      </w:r>
      <w:r>
        <w:rPr/>
        <w:t xml:space="preserve"> </w:t>
      </w:r>
      <w:r>
        <w:rPr/>
        <w:t>On April 3, 2000, TURN, Aglet, and the Southern California Generation Coalition filed the Post-Interim Settlement, which also included the provisions of the Interim Settlement filed by other parties on December 27, 1999.</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chkCopyTitle" w:val="False"/>
    <w:docVar w:name="chkIncludeCoverPage" w:val="True"/>
    <w:docVar w:name="chkIncludeFirmAddress" w:val="True"/>
    <w:docVar w:name="cmbAttyName" w:val="2017"/>
    <w:docVar w:name="cmbAttysFor" w:val="Respondent"/>
    <w:docVar w:name="cmbAuthorLists" w:val="-100"/>
    <w:docVar w:name="cmbCAttysFor" w:val="Appellant"/>
    <w:docVar w:name="cmbCrossActions" w:val="none"/>
    <w:docVar w:name="cmbDated" w:val="2"/>
    <w:docVar w:name="cmbDPartyTitle" w:val="Respondent"/>
    <w:docVar w:name="cmbOptBodyTextAlignment" w:val="0"/>
    <w:docVar w:name="cmbOptDated" w:val="2"/>
    <w:docVar w:name="cmbOptFonts" w:val="Times New Roman"/>
    <w:docVar w:name="cmbOptOffices" w:val="1"/>
    <w:docVar w:name="cmbOptSigType" w:val="Respectfully Submitted"/>
    <w:docVar w:name="cmbPPartyTitle" w:val="Appellant"/>
    <w:docVar w:name="cmbPrefLists" w:val="-100"/>
    <w:docVar w:name="cmbSetAuthorPref" w:val="2017"/>
    <w:docVar w:name="iTrailerType" w:val="1"/>
    <w:docVar w:name="lstAttyList" w:val="2017"/>
    <w:docVar w:name="lstCourts" w:val="Public Utilities Commission"/>
    <w:docVar w:name="lstSigType" w:val="PUC Signature"/>
    <w:docVar w:name="OtherCaptionItems" w:val="†"/>
    <w:docVar w:name="packedarray" w:val="Michael B. Day†2017"/>
    <w:docVar w:name="Restarted" w:val="True"/>
    <w:docVar w:name="tglUseFirmDefaults" w:val="False"/>
    <w:docVar w:name="txtAppealedFrom" w:val="San Francisco"/>
    <w:docVar w:name="txtAppealFrom" w:val="the Superior Court&#10;of California, City and County of"/>
    <w:docVar w:name="txtAttyName" w:val="Michael B. Day"/>
    <w:docVar w:name="txtCaseNo" w:val="2nd Civil No. "/>
    <w:docVar w:name="txtCAttysFor" w:val="Appellant"/>
    <w:docVar w:name="txtDPartyTitle" w:val="Respondent"/>
    <w:docVar w:name="txtOptFirstLine" w:val="1"/>
    <w:docVar w:name="txtOptFSize" w:val="12"/>
    <w:docVar w:name="txtOptLeftMargin" w:val="1.5"/>
    <w:docVar w:name="txtOptRightMargin" w:val="1.5"/>
    <w:docVar w:name="txtOriginalCaseNo" w:val="Civil Case No. "/>
    <w:docVar w:name="txtPPTitle" w:val="Appellant"/>
    <w:docVar w:name="zzmpFixed_MacPacVersion" w:val="97"/>
    <w:docVar w:name="zzmpFixed_PleadingPaperType" w:val="PPNone"/>
    <w:docVar w:name="zzmpFixedDOC_ID" w:val="2715/016/X19039-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widowControl/>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widowControl/>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widowControl/>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widowControl/>
      <w:numPr>
        <w:ilvl w:val="3"/>
        <w:numId w:val="1"/>
      </w:numPr>
      <w:spacing w:before="240" w:after="60"/>
      <w:outlineLvl w:val="3"/>
    </w:pPr>
    <w:rPr>
      <w:rFonts w:ascii="Arial" w:hAnsi="Arial" w:cs="Arial"/>
      <w:b/>
    </w:rPr>
  </w:style>
  <w:style w:type="paragraph" w:styleId="Heading5">
    <w:name w:val="heading 5"/>
    <w:basedOn w:val="Normal"/>
    <w:next w:val="Normal"/>
    <w:qFormat/>
    <w:pPr>
      <w:widowControl/>
      <w:numPr>
        <w:ilvl w:val="4"/>
        <w:numId w:val="1"/>
      </w:numPr>
      <w:spacing w:before="240" w:after="60"/>
      <w:outlineLvl w:val="4"/>
    </w:pPr>
    <w:rPr>
      <w:sz w:val="22"/>
    </w:rPr>
  </w:style>
  <w:style w:type="paragraph" w:styleId="Heading6">
    <w:name w:val="heading 6"/>
    <w:basedOn w:val="Normal"/>
    <w:next w:val="Normal"/>
    <w:qFormat/>
    <w:pPr>
      <w:widowControl/>
      <w:numPr>
        <w:ilvl w:val="5"/>
        <w:numId w:val="1"/>
      </w:numPr>
      <w:spacing w:before="240" w:after="60"/>
      <w:outlineLvl w:val="5"/>
    </w:pPr>
    <w:rPr>
      <w:i/>
      <w:sz w:val="22"/>
    </w:rPr>
  </w:style>
  <w:style w:type="paragraph" w:styleId="Heading7">
    <w:name w:val="heading 7"/>
    <w:basedOn w:val="Normal"/>
    <w:next w:val="Normal"/>
    <w:qFormat/>
    <w:pPr>
      <w:widowControl/>
      <w:numPr>
        <w:ilvl w:val="6"/>
        <w:numId w:val="1"/>
      </w:numPr>
      <w:spacing w:before="240" w:after="60"/>
      <w:outlineLvl w:val="6"/>
    </w:pPr>
    <w:rPr>
      <w:rFonts w:ascii="Arial" w:hAnsi="Arial" w:cs="Arial"/>
      <w:sz w:val="20"/>
    </w:rPr>
  </w:style>
  <w:style w:type="paragraph" w:styleId="Heading8">
    <w:name w:val="heading 8"/>
    <w:basedOn w:val="Normal"/>
    <w:next w:val="Normal"/>
    <w:qFormat/>
    <w:pPr>
      <w:widowControl/>
      <w:numPr>
        <w:ilvl w:val="7"/>
        <w:numId w:val="1"/>
      </w:numPr>
      <w:spacing w:before="240" w:after="60"/>
      <w:outlineLvl w:val="7"/>
    </w:pPr>
    <w:rPr>
      <w:rFonts w:ascii="Arial" w:hAnsi="Arial" w:cs="Arial"/>
      <w:i/>
      <w:sz w:val="20"/>
    </w:rPr>
  </w:style>
  <w:style w:type="paragraph" w:styleId="Heading9">
    <w:name w:val="heading 9"/>
    <w:basedOn w:val="Normal"/>
    <w:next w:val="Normal"/>
    <w:qFormat/>
    <w:pPr>
      <w:widowControl/>
      <w:numPr>
        <w:ilvl w:val="8"/>
        <w:numId w:val="1"/>
      </w:numPr>
      <w:spacing w:before="240" w:after="60"/>
      <w:outlineLvl w:val="8"/>
    </w:pPr>
    <w:rPr>
      <w:rFonts w:ascii="Arial" w:hAnsi="Arial" w:cs="Arial"/>
      <w:b/>
      <w:i/>
      <w:sz w:val="18"/>
    </w:rPr>
  </w:style>
  <w:style w:type="character" w:styleId="WW8Num1z0">
    <w:name w:val="WW8Num1z0"/>
    <w:qFormat/>
    <w:rPr>
      <w:b/>
      <w:u w:val="none"/>
    </w:rPr>
  </w:style>
  <w:style w:type="character" w:styleId="WW8Num1z1">
    <w:name w:val="WW8Num1z1"/>
    <w:qFormat/>
    <w:rPr>
      <w:rFonts w:ascii="Courier New" w:hAnsi="Courier New" w:cs="Courier New"/>
      <w:b/>
      <w:u w:val="none"/>
    </w:rPr>
  </w:style>
  <w:style w:type="character" w:styleId="WW8Num1z2">
    <w:name w:val="WW8Num1z2"/>
    <w:qFormat/>
    <w:rPr>
      <w:b w:val="false"/>
      <w:u w:val="none"/>
    </w:rPr>
  </w:style>
  <w:style w:type="character" w:styleId="WW8Num2z0">
    <w:name w:val="WW8Num2z0"/>
    <w:qFormat/>
    <w:rPr>
      <w:b/>
      <w:i w:val="false"/>
      <w:caps w:val="false"/>
      <w:smallCaps w:val="false"/>
      <w:strike w:val="false"/>
      <w:dstrike w:val="false"/>
      <w:shadow w:val="false"/>
      <w:vanish w:val="false"/>
      <w:color w:val="0000FF"/>
      <w:position w:val="0"/>
      <w:sz w:val="24"/>
      <w:u w:val="none"/>
      <w:vertAlign w:val="baseline"/>
    </w:rPr>
  </w:style>
  <w:style w:type="character" w:styleId="WW8Num2z2">
    <w:name w:val="WW8Num2z2"/>
    <w:qFormat/>
    <w:rPr>
      <w:b w:val="false"/>
      <w:i w:val="false"/>
      <w:caps w:val="false"/>
      <w:smallCaps w:val="false"/>
      <w:strike w:val="false"/>
      <w:dstrike w:val="false"/>
      <w:shadow w:val="false"/>
      <w:vanish w:val="false"/>
      <w:color w:val="0000FF"/>
      <w:position w:val="0"/>
      <w:sz w:val="24"/>
      <w:vertAlign w:val="baseline"/>
    </w:rPr>
  </w:style>
  <w:style w:type="character" w:styleId="WW8Num2z3">
    <w:name w:val="WW8Num2z3"/>
    <w:qFormat/>
    <w:rPr>
      <w:b w:val="false"/>
      <w:i w:val="false"/>
      <w:caps w:val="false"/>
      <w:smallCaps w:val="false"/>
      <w:strike w:val="false"/>
      <w:dstrike w:val="false"/>
      <w:outline w:val="false"/>
      <w:shadow w:val="false"/>
      <w:vanish w:val="false"/>
      <w:color w:val="0000FF"/>
      <w:position w:val="0"/>
      <w:sz w:val="24"/>
      <w:u w:val="none"/>
      <w:vertAlign w:val="baseline"/>
    </w:rPr>
  </w:style>
  <w:style w:type="character" w:styleId="WW8Num2z4">
    <w:name w:val="WW8Num2z4"/>
    <w:qFormat/>
    <w:rPr>
      <w:caps w:val="false"/>
      <w:smallCaps w:val="false"/>
      <w:strike w:val="false"/>
      <w:dstrike w:val="false"/>
      <w:shadow w:val="false"/>
      <w:vanish w:val="false"/>
      <w:color w:val="0000FF"/>
      <w:position w:val="0"/>
      <w:sz w:val="24"/>
      <w:u w:val="none"/>
      <w:vertAlign w:val="baseline"/>
    </w:rPr>
  </w:style>
  <w:style w:type="character" w:styleId="WW8Num2z7">
    <w:name w:val="WW8Num2z7"/>
    <w:qFormat/>
    <w:rPr>
      <w:b w:val="false"/>
      <w:i w:val="false"/>
      <w:caps w:val="false"/>
      <w:smallCaps w:val="false"/>
      <w:strike w:val="false"/>
      <w:dstrike w:val="false"/>
      <w:shadow w:val="false"/>
      <w:vanish w:val="false"/>
      <w:color w:val="0000FF"/>
      <w:position w:val="0"/>
      <w:sz w:val="24"/>
      <w:u w:val="none"/>
      <w:vertAlign w:val="baseline"/>
    </w:rPr>
  </w:style>
  <w:style w:type="character" w:styleId="WW8Num3z0">
    <w:name w:val="WW8Num3z0"/>
    <w:qFormat/>
    <w:rPr>
      <w:b/>
      <w:i w:val="false"/>
      <w:caps w:val="false"/>
      <w:smallCaps w:val="false"/>
      <w:strike w:val="false"/>
      <w:dstrike w:val="false"/>
      <w:shadow w:val="false"/>
      <w:vanish w:val="false"/>
      <w:color w:val="0000FF"/>
      <w:position w:val="0"/>
      <w:sz w:val="24"/>
      <w:u w:val="none"/>
      <w:vertAlign w:val="baseline"/>
    </w:rPr>
  </w:style>
  <w:style w:type="character" w:styleId="WW8Num3z2">
    <w:name w:val="WW8Num3z2"/>
    <w:qFormat/>
    <w:rPr>
      <w:b w:val="false"/>
      <w:i w:val="false"/>
      <w:caps w:val="false"/>
      <w:smallCaps w:val="false"/>
      <w:strike w:val="false"/>
      <w:dstrike w:val="false"/>
      <w:shadow w:val="false"/>
      <w:vanish w:val="false"/>
      <w:color w:val="0000FF"/>
      <w:position w:val="0"/>
      <w:sz w:val="24"/>
      <w:vertAlign w:val="baseline"/>
    </w:rPr>
  </w:style>
  <w:style w:type="character" w:styleId="WW8Num3z3">
    <w:name w:val="WW8Num3z3"/>
    <w:qFormat/>
    <w:rPr>
      <w:b w:val="false"/>
      <w:i w:val="false"/>
      <w:caps w:val="false"/>
      <w:smallCaps w:val="false"/>
      <w:strike w:val="false"/>
      <w:dstrike w:val="false"/>
      <w:outline w:val="false"/>
      <w:shadow w:val="false"/>
      <w:vanish w:val="false"/>
      <w:color w:val="0000FF"/>
      <w:position w:val="0"/>
      <w:sz w:val="24"/>
      <w:u w:val="none"/>
      <w:vertAlign w:val="baseline"/>
    </w:rPr>
  </w:style>
  <w:style w:type="character" w:styleId="WW8Num3z4">
    <w:name w:val="WW8Num3z4"/>
    <w:qFormat/>
    <w:rPr>
      <w:caps w:val="false"/>
      <w:smallCaps w:val="false"/>
      <w:strike w:val="false"/>
      <w:dstrike w:val="false"/>
      <w:shadow w:val="false"/>
      <w:vanish w:val="false"/>
      <w:color w:val="0000FF"/>
      <w:position w:val="0"/>
      <w:sz w:val="24"/>
      <w:u w:val="none"/>
      <w:vertAlign w:val="baseline"/>
    </w:rPr>
  </w:style>
  <w:style w:type="character" w:styleId="WW8Num3z7">
    <w:name w:val="WW8Num3z7"/>
    <w:qFormat/>
    <w:rPr>
      <w:b w:val="false"/>
      <w:i w:val="false"/>
      <w:caps w:val="false"/>
      <w:smallCaps w:val="false"/>
      <w:strike w:val="false"/>
      <w:dstrike w:val="false"/>
      <w:shadow w:val="false"/>
      <w:vanish w:val="false"/>
      <w:color w:val="0000FF"/>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9360" w:leader="none"/>
      </w:tabs>
    </w:pPr>
    <w:rPr/>
  </w:style>
  <w:style w:type="paragraph" w:styleId="Header">
    <w:name w:val="header"/>
    <w:basedOn w:val="Normal"/>
    <w:pPr>
      <w:tabs>
        <w:tab w:val="clear" w:pos="720"/>
        <w:tab w:val="center" w:pos="4320" w:leader="none"/>
        <w:tab w:val="right" w:pos="9360" w:leader="none"/>
      </w:tabs>
    </w:pPr>
    <w:rPr/>
  </w:style>
  <w:style w:type="paragraph" w:styleId="Quote">
    <w:name w:val="Quote"/>
    <w:basedOn w:val="Normal"/>
    <w:next w:val="BodyTextContinued"/>
    <w:qFormat/>
    <w:pPr>
      <w:widowControl/>
      <w:spacing w:before="0" w:after="240"/>
      <w:ind w:hanging="0" w:start="1440" w:end="1440"/>
    </w:pPr>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before="0" w:after="240"/>
      <w:jc w:val="center"/>
    </w:pPr>
    <w:rPr/>
  </w:style>
  <w:style w:type="paragraph" w:styleId="EnvelopeAddress">
    <w:name w:val="envelope address"/>
    <w:basedOn w:val="Normal"/>
    <w:pPr/>
    <w:rPr/>
  </w:style>
  <w:style w:type="paragraph" w:styleId="FootnoteText">
    <w:name w:val="footnote text"/>
    <w:basedOn w:val="Normal"/>
    <w:pPr>
      <w:keepLines/>
    </w:pPr>
    <w:rPr/>
  </w:style>
  <w:style w:type="paragraph" w:styleId="HeaderNumbers">
    <w:name w:val="HeaderNumbers"/>
    <w:basedOn w:val="Normal"/>
    <w:qFormat/>
    <w:pPr>
      <w:spacing w:lineRule="exact" w:line="480" w:before="720" w:after="0"/>
      <w:ind w:hanging="0" w:start="0" w:end="144"/>
      <w:jc w:val="end"/>
    </w:pPr>
    <w:rPr/>
  </w:style>
  <w:style w:type="paragraph" w:styleId="NormalIndent">
    <w:name w:val="Normal Indent"/>
    <w:basedOn w:val="Normal"/>
    <w:qFormat/>
    <w:pPr>
      <w:ind w:hanging="0" w:start="720" w:end="720"/>
    </w:pPr>
    <w:rPr/>
  </w:style>
  <w:style w:type="paragraph" w:styleId="PleadingSignature">
    <w:name w:val="Pleading Signature"/>
    <w:basedOn w:val="Normal"/>
    <w:qFormat/>
    <w:pPr>
      <w:keepNext w:val="true"/>
      <w:keepLines/>
      <w:tabs>
        <w:tab w:val="clear" w:pos="720"/>
        <w:tab w:val="left" w:pos="5126" w:leader="none"/>
        <w:tab w:val="right" w:pos="9360" w:leader="none"/>
      </w:tabs>
      <w:ind w:hanging="0" w:start="5040" w:end="0"/>
    </w:pPr>
    <w:rPr/>
  </w:style>
  <w:style w:type="paragraph" w:styleId="TableofAuthorities">
    <w:name w:val="Table of Authorities"/>
    <w:basedOn w:val="Normal"/>
    <w:next w:val="Normal"/>
    <w:qFormat/>
    <w:pPr>
      <w:tabs>
        <w:tab w:val="clear" w:pos="720"/>
        <w:tab w:val="right" w:pos="9389" w:leader="dot"/>
      </w:tabs>
      <w:spacing w:before="0" w:after="240"/>
      <w:ind w:hanging="360" w:start="360" w:end="1440"/>
    </w:pPr>
    <w:rPr/>
  </w:style>
  <w:style w:type="paragraph" w:styleId="TOAHeading">
    <w:name w:val="TOA Heading"/>
    <w:basedOn w:val="Normal"/>
    <w:next w:val="TableofAuthorities"/>
    <w:qFormat/>
    <w:pPr>
      <w:keepNext w:val="true"/>
      <w:spacing w:before="240" w:after="240"/>
    </w:pPr>
    <w:rPr>
      <w:b/>
      <w:caps/>
      <w:u w:val="single"/>
    </w:rPr>
  </w:style>
  <w:style w:type="paragraph" w:styleId="TOC1">
    <w:name w:val="toc 1"/>
    <w:basedOn w:val="Normal"/>
    <w:next w:val="Normal"/>
    <w:pPr>
      <w:keepLines/>
      <w:widowControl/>
      <w:tabs>
        <w:tab w:val="clear" w:pos="720"/>
        <w:tab w:val="right" w:pos="9389" w:leader="dot"/>
      </w:tabs>
      <w:spacing w:before="0" w:after="240"/>
      <w:ind w:hanging="720" w:start="720" w:end="720"/>
    </w:pPr>
    <w:rPr>
      <w:caps/>
    </w:rPr>
  </w:style>
  <w:style w:type="paragraph" w:styleId="TOC2">
    <w:name w:val="toc 2"/>
    <w:basedOn w:val="Normal"/>
    <w:next w:val="Normal"/>
    <w:pPr>
      <w:keepLines/>
      <w:widowControl/>
      <w:tabs>
        <w:tab w:val="clear" w:pos="720"/>
        <w:tab w:val="right" w:pos="9389" w:leader="dot"/>
      </w:tabs>
      <w:spacing w:before="0" w:after="240"/>
      <w:ind w:hanging="720" w:start="1440" w:end="720"/>
    </w:pPr>
    <w:rPr/>
  </w:style>
  <w:style w:type="paragraph" w:styleId="TOC3">
    <w:name w:val="toc 3"/>
    <w:basedOn w:val="Normal"/>
    <w:next w:val="Normal"/>
    <w:pPr>
      <w:keepLines/>
      <w:widowControl/>
      <w:tabs>
        <w:tab w:val="clear" w:pos="720"/>
        <w:tab w:val="right" w:pos="9389" w:leader="dot"/>
      </w:tabs>
      <w:spacing w:before="0" w:after="240"/>
      <w:ind w:hanging="720" w:start="2160" w:end="720"/>
    </w:pPr>
    <w:rPr/>
  </w:style>
  <w:style w:type="paragraph" w:styleId="TOC4">
    <w:name w:val="toc 4"/>
    <w:basedOn w:val="Normal"/>
    <w:next w:val="Normal"/>
    <w:pPr>
      <w:keepLines/>
      <w:widowControl/>
      <w:tabs>
        <w:tab w:val="clear" w:pos="720"/>
        <w:tab w:val="right" w:pos="9389" w:leader="dot"/>
      </w:tabs>
      <w:spacing w:before="0" w:after="240"/>
      <w:ind w:hanging="720" w:start="2880" w:end="720"/>
    </w:pPr>
    <w:rPr/>
  </w:style>
  <w:style w:type="paragraph" w:styleId="TOC5">
    <w:name w:val="toc 5"/>
    <w:basedOn w:val="Normal"/>
    <w:next w:val="Normal"/>
    <w:pPr>
      <w:keepLines/>
      <w:widowControl/>
      <w:tabs>
        <w:tab w:val="clear" w:pos="720"/>
        <w:tab w:val="right" w:pos="9389" w:leader="dot"/>
      </w:tabs>
      <w:spacing w:before="0" w:after="240"/>
      <w:ind w:hanging="720" w:start="3600" w:end="720"/>
    </w:pPr>
    <w:rPr/>
  </w:style>
  <w:style w:type="paragraph" w:styleId="TOC6">
    <w:name w:val="toc 6"/>
    <w:basedOn w:val="Normal"/>
    <w:next w:val="Normal"/>
    <w:pPr>
      <w:keepLines/>
      <w:widowControl/>
      <w:tabs>
        <w:tab w:val="clear" w:pos="720"/>
        <w:tab w:val="right" w:pos="9389" w:leader="dot"/>
      </w:tabs>
      <w:spacing w:before="0" w:after="240"/>
      <w:ind w:hanging="720" w:start="4320" w:end="720"/>
    </w:pPr>
    <w:rPr/>
  </w:style>
  <w:style w:type="paragraph" w:styleId="TOC7">
    <w:name w:val="toc 7"/>
    <w:basedOn w:val="Normal"/>
    <w:next w:val="Normal"/>
    <w:pPr>
      <w:keepLines/>
      <w:widowControl/>
      <w:tabs>
        <w:tab w:val="clear" w:pos="720"/>
        <w:tab w:val="right" w:pos="9389" w:leader="dot"/>
      </w:tabs>
      <w:spacing w:before="0" w:after="240"/>
      <w:ind w:hanging="720" w:start="5040" w:end="720"/>
    </w:pPr>
    <w:rPr/>
  </w:style>
  <w:style w:type="paragraph" w:styleId="TOC8">
    <w:name w:val="toc 8"/>
    <w:basedOn w:val="Normal"/>
    <w:next w:val="Normal"/>
    <w:pPr>
      <w:keepLines/>
      <w:widowControl/>
      <w:tabs>
        <w:tab w:val="clear" w:pos="720"/>
        <w:tab w:val="right" w:pos="9389" w:leader="dot"/>
      </w:tabs>
      <w:spacing w:before="0" w:after="240"/>
      <w:ind w:hanging="720" w:start="5760" w:end="720"/>
    </w:pPr>
    <w:rPr/>
  </w:style>
  <w:style w:type="paragraph" w:styleId="TOC9">
    <w:name w:val="toc 9"/>
    <w:basedOn w:val="Normal"/>
    <w:next w:val="Normal"/>
    <w:pPr>
      <w:keepLines/>
      <w:widowControl/>
      <w:tabs>
        <w:tab w:val="clear" w:pos="720"/>
        <w:tab w:val="right" w:pos="9389" w:leader="dot"/>
      </w:tabs>
      <w:spacing w:before="0" w:after="240"/>
      <w:ind w:hanging="720" w:start="6480" w:end="720"/>
    </w:pPr>
    <w:rPr/>
  </w:style>
  <w:style w:type="paragraph" w:styleId="CoverPage">
    <w:name w:val="CoverPage"/>
    <w:basedOn w:val="Normal"/>
    <w:qFormat/>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PUC-Appellate.dot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2000-12-11T21:55:00Z</dcterms:created>
  <dc:creator>Michael B. Day</dc:creator>
  <dc:description/>
  <dc:language>en-CA</dc:language>
  <cp:lastModifiedBy>Michael B. Day</cp:lastModifiedBy>
  <cp:lastPrinted>2000-12-11T16:11:00Z</cp:lastPrinted>
  <dcterms:modified xsi:type="dcterms:W3CDTF">2000-12-11T21:55:00Z</dcterms:modified>
  <cp:revision>2</cp:revision>
  <dc:subject/>
  <dc:title/>
</cp:coreProperties>
</file>