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0" w:after="240"/>
        <w:jc w:val="center"/>
        <w:outlineLvl w:val="0"/>
        <w:rPr>
          <w:rFonts w:ascii="Arial" w:hAnsi="Arial" w:cs="Arial"/>
          <w:b/>
          <w:caps/>
          <w:spacing w:val="60"/>
          <w:sz w:val="26"/>
        </w:rPr>
      </w:pPr>
      <w:r>
        <w:rPr>
          <w:rFonts w:cs="Arial" w:ascii="Arial" w:hAnsi="Arial"/>
          <w:b/>
          <w:caps/>
          <w:spacing w:val="60"/>
          <w:sz w:val="26"/>
        </w:rPr>
        <w:t>Memorandum</w:t>
      </w:r>
    </w:p>
    <w:p>
      <w:pPr>
        <w:pStyle w:val="DeliveryPhrase"/>
        <w:rPr>
          <w:rFonts w:ascii="Arial" w:hAnsi="Arial" w:cs="Arial"/>
          <w:b w:val="false"/>
          <w:caps w:val="false"/>
          <w:smallCaps w:val="false"/>
          <w:spacing w:val="60"/>
          <w:sz w:val="26"/>
        </w:rPr>
      </w:pPr>
      <w:r>
        <w:rPr>
          <w:rFonts w:cs="Arial" w:ascii="Arial" w:hAnsi="Arial"/>
          <w:b w:val="false"/>
          <w:caps w:val="false"/>
          <w:smallCaps w:val="false"/>
          <w:spacing w:val="60"/>
          <w:sz w:val="26"/>
        </w:rPr>
      </w:r>
    </w:p>
    <w:tbl>
      <w:tblPr>
        <w:tblW w:w="9576" w:type="dxa"/>
        <w:jc w:val="start"/>
        <w:tblInd w:w="0" w:type="dxa"/>
        <w:tblLayout w:type="fixed"/>
        <w:tblCellMar>
          <w:top w:w="0" w:type="dxa"/>
          <w:start w:w="0" w:type="dxa"/>
          <w:bottom w:w="0" w:type="dxa"/>
          <w:end w:w="0" w:type="dxa"/>
        </w:tblCellMar>
      </w:tblPr>
      <w:tblGrid>
        <w:gridCol w:w="1440"/>
        <w:gridCol w:w="8136"/>
      </w:tblGrid>
      <w:tr>
        <w:trPr/>
        <w:tc>
          <w:tcPr>
            <w:tcW w:w="1440" w:type="dxa"/>
            <w:tcBorders/>
          </w:tcPr>
          <w:p>
            <w:pPr>
              <w:pStyle w:val="MemoHeading"/>
              <w:spacing w:before="0" w:after="180"/>
              <w:rPr>
                <w:sz w:val="22"/>
              </w:rPr>
            </w:pPr>
            <w:r>
              <w:rPr>
                <w:sz w:val="22"/>
              </w:rPr>
              <w:t>TO:</w:t>
            </w:r>
          </w:p>
        </w:tc>
        <w:tc>
          <w:tcPr>
            <w:tcW w:w="8136" w:type="dxa"/>
            <w:tcBorders/>
          </w:tcPr>
          <w:p>
            <w:pPr>
              <w:pStyle w:val="Normal"/>
              <w:spacing w:before="0" w:after="180"/>
              <w:ind w:end="216"/>
              <w:rPr/>
            </w:pPr>
            <w:r>
              <w:rPr/>
              <w:t>Paul Kaufman and Jeff Dasovich, Enron</w:t>
            </w:r>
          </w:p>
        </w:tc>
      </w:tr>
      <w:tr>
        <w:trPr/>
        <w:tc>
          <w:tcPr>
            <w:tcW w:w="1440" w:type="dxa"/>
            <w:tcBorders/>
          </w:tcPr>
          <w:p>
            <w:pPr>
              <w:pStyle w:val="MemoHeading"/>
              <w:spacing w:before="0" w:after="180"/>
              <w:rPr>
                <w:sz w:val="22"/>
              </w:rPr>
            </w:pPr>
            <w:r>
              <w:rPr>
                <w:sz w:val="22"/>
              </w:rPr>
              <w:t>FROM:</w:t>
            </w:r>
          </w:p>
        </w:tc>
        <w:tc>
          <w:tcPr>
            <w:tcW w:w="8136" w:type="dxa"/>
            <w:tcBorders/>
          </w:tcPr>
          <w:p>
            <w:pPr>
              <w:pStyle w:val="Normal"/>
              <w:spacing w:before="0" w:after="180"/>
              <w:ind w:end="216"/>
              <w:rPr/>
            </w:pPr>
            <w:r>
              <w:rPr/>
              <w:t>Michael B. Day</w:t>
              <w:br/>
              <w:t>Alexandra M. Ozols</w:t>
            </w:r>
          </w:p>
        </w:tc>
      </w:tr>
      <w:tr>
        <w:trPr/>
        <w:tc>
          <w:tcPr>
            <w:tcW w:w="1440" w:type="dxa"/>
            <w:tcBorders/>
          </w:tcPr>
          <w:p>
            <w:pPr>
              <w:pStyle w:val="MemoHeading"/>
              <w:spacing w:before="0" w:after="180"/>
              <w:rPr>
                <w:sz w:val="22"/>
              </w:rPr>
            </w:pPr>
            <w:r>
              <w:rPr>
                <w:sz w:val="22"/>
              </w:rPr>
              <w:t>DATE:</w:t>
            </w:r>
          </w:p>
        </w:tc>
        <w:tc>
          <w:tcPr>
            <w:tcW w:w="8136" w:type="dxa"/>
            <w:tcBorders/>
          </w:tcPr>
          <w:p>
            <w:pPr>
              <w:pStyle w:val="Normal"/>
              <w:spacing w:before="0" w:after="180"/>
              <w:ind w:end="216"/>
              <w:rPr/>
            </w:pPr>
            <w:r>
              <w:rPr/>
              <w:fldChar w:fldCharType="begin"/>
            </w:r>
            <w:r>
              <w:rPr/>
              <w:instrText xml:space="preserve"> DATE \@"MMMM\ d', 'yyyy" </w:instrText>
            </w:r>
            <w:r>
              <w:rPr/>
              <w:fldChar w:fldCharType="separate"/>
            </w:r>
            <w:r>
              <w:rPr/>
              <w:t>September 28, 2025</w:t>
            </w:r>
            <w:r>
              <w:rPr/>
              <w:fldChar w:fldCharType="end"/>
            </w:r>
          </w:p>
        </w:tc>
      </w:tr>
      <w:tr>
        <w:trPr/>
        <w:tc>
          <w:tcPr>
            <w:tcW w:w="1440" w:type="dxa"/>
            <w:tcBorders/>
          </w:tcPr>
          <w:p>
            <w:pPr>
              <w:pStyle w:val="MemoHeading"/>
              <w:spacing w:before="0" w:after="180"/>
              <w:rPr>
                <w:sz w:val="22"/>
              </w:rPr>
            </w:pPr>
            <w:r>
              <w:rPr>
                <w:sz w:val="22"/>
              </w:rPr>
              <w:t>SUBJECT:</w:t>
            </w:r>
          </w:p>
        </w:tc>
        <w:tc>
          <w:tcPr>
            <w:tcW w:w="8136" w:type="dxa"/>
            <w:tcBorders/>
          </w:tcPr>
          <w:p>
            <w:pPr>
              <w:pStyle w:val="Normal"/>
              <w:spacing w:before="0" w:after="120"/>
              <w:ind w:end="216"/>
              <w:rPr/>
            </w:pPr>
            <w:r>
              <w:rPr/>
              <w:t xml:space="preserve">Gas Curtailment and Diversion Procedures as Specified in the Tariffs of </w:t>
            </w:r>
            <w:r>
              <w:rPr>
                <w:u w:val="single"/>
              </w:rPr>
              <w:t>Southern California Gas Company</w:t>
            </w:r>
            <w:r>
              <w:rPr/>
              <w:t xml:space="preserve">, </w:t>
            </w:r>
            <w:r>
              <w:rPr>
                <w:u w:val="single"/>
              </w:rPr>
              <w:t>San Diego Gas &amp; Electric Company</w:t>
            </w:r>
            <w:r>
              <w:rPr/>
              <w:t xml:space="preserve">, and </w:t>
            </w:r>
            <w:r>
              <w:rPr>
                <w:u w:val="single"/>
              </w:rPr>
              <w:t>Pacific Gas and Electric Company</w:t>
            </w:r>
          </w:p>
        </w:tc>
      </w:tr>
      <w:tr>
        <w:trPr/>
        <w:tc>
          <w:tcPr>
            <w:tcW w:w="9576" w:type="dxa"/>
            <w:gridSpan w:val="2"/>
            <w:tcBorders>
              <w:top w:val="single" w:sz="6" w:space="0" w:color="000000"/>
            </w:tcBorders>
            <w:tcMar>
              <w:start w:w="108" w:type="dxa"/>
              <w:end w:w="108" w:type="dxa"/>
            </w:tcMar>
          </w:tcPr>
          <w:p>
            <w:pPr>
              <w:pStyle w:val="Normal"/>
              <w:snapToGrid w:val="false"/>
              <w:rPr/>
            </w:pPr>
            <w:r>
              <w:rPr/>
            </w:r>
          </w:p>
        </w:tc>
      </w:tr>
    </w:tbl>
    <w:p>
      <w:pPr>
        <w:pStyle w:val="BodyText"/>
        <w:rPr/>
      </w:pPr>
      <w:r>
        <w:rPr/>
      </w:r>
    </w:p>
    <w:p>
      <w:pPr>
        <w:pStyle w:val="BodyText"/>
        <w:rPr/>
      </w:pPr>
      <w:r>
        <w:rPr/>
        <w:t xml:space="preserve">Per your request this memo looks at the rights and obligations of shippers and customers during a gas curtailment.  We examine these issues on a utility by utility basis and will present the bottom line conclusions at the beginning of each section. </w:t>
      </w:r>
    </w:p>
    <w:p>
      <w:pPr>
        <w:pStyle w:val="BodyText"/>
        <w:jc w:val="center"/>
        <w:rPr>
          <w:b/>
          <w:u w:val="single"/>
        </w:rPr>
      </w:pPr>
      <w:r>
        <w:rPr>
          <w:b/>
          <w:u w:val="single"/>
        </w:rPr>
      </w:r>
    </w:p>
    <w:p>
      <w:pPr>
        <w:pStyle w:val="BodyText"/>
        <w:numPr>
          <w:ilvl w:val="0"/>
          <w:numId w:val="0"/>
        </w:numPr>
        <w:ind w:firstLine="1440" w:start="0"/>
        <w:jc w:val="center"/>
        <w:outlineLvl w:val="0"/>
        <w:rPr>
          <w:b/>
          <w:u w:val="single"/>
        </w:rPr>
      </w:pPr>
      <w:r>
        <w:rPr>
          <w:b/>
          <w:u w:val="single"/>
        </w:rPr>
        <w:t>Pacific Gas and Electric Gas Curtailment and Diversion Procedures</w:t>
      </w:r>
    </w:p>
    <w:p>
      <w:pPr>
        <w:pStyle w:val="BodyText"/>
        <w:rPr/>
      </w:pPr>
      <w:r>
        <w:rPr/>
        <w:t>In Rule 14 of its tariff, PG&amp;E has set out procedures for instances in which it will have to reduce or adjust nominations at a particular receipt point to match the capacity available at the receipt point and for delivery point restrictions.  PG&amp;E may interrupt or reduce delivery of natural gas in the event of a projected or actual capacity restraint or projected or actual supply shortage on its system.</w:t>
      </w:r>
      <w:r>
        <w:rPr>
          <w:rStyle w:val="FootnoteCharacters"/>
          <w:rStyle w:val="FootnoteReference"/>
        </w:rPr>
        <w:footnoteReference w:id="2"/>
      </w:r>
      <w:r>
        <w:rPr/>
        <w:t xml:space="preserve">  PG&amp;E will curtail gas to protect the integrity of its pipeline system (OFOs) and if operational conditions exist such that supply is insufficient to meet demand and deliveries to Core-End-Use Customers are threatened (EFOs).  During OFOs and EFOs the use of gas may result in significant penalties.  </w:t>
      </w:r>
    </w:p>
    <w:p>
      <w:pPr>
        <w:pStyle w:val="BodyText"/>
        <w:jc w:val="center"/>
        <w:rPr>
          <w:u w:val="single"/>
        </w:rPr>
      </w:pPr>
      <w:r>
        <w:rPr>
          <w:u w:val="single"/>
        </w:rPr>
      </w:r>
    </w:p>
    <w:p>
      <w:pPr>
        <w:pStyle w:val="BodyText"/>
        <w:numPr>
          <w:ilvl w:val="0"/>
          <w:numId w:val="0"/>
        </w:numPr>
        <w:ind w:firstLine="1440" w:start="0"/>
        <w:jc w:val="center"/>
        <w:outlineLvl w:val="0"/>
        <w:rPr>
          <w:u w:val="single"/>
        </w:rPr>
      </w:pPr>
      <w:r>
        <w:rPr>
          <w:u w:val="single"/>
        </w:rPr>
        <w:t>Compensation</w:t>
      </w:r>
    </w:p>
    <w:p>
      <w:pPr>
        <w:pStyle w:val="BodyText"/>
        <w:rPr/>
      </w:pPr>
      <w:r>
        <w:rPr/>
        <w:t>Gas supply may be diverted from noncore on behalf of core.  Compensation for Firm transmission service clients is a $5/th credit.  As-available transmission service customers whose gas is diverted will receive a credit based on the current market price of the diverted supply on the day it was diverted.</w:t>
      </w:r>
      <w:r>
        <w:rPr>
          <w:rStyle w:val="FootnoteCharacters"/>
          <w:rStyle w:val="FootnoteReference"/>
        </w:rPr>
        <w:footnoteReference w:id="3"/>
      </w:r>
      <w:r>
        <w:rPr/>
        <w:t xml:space="preserve">   </w:t>
      </w:r>
    </w:p>
    <w:p>
      <w:pPr>
        <w:pStyle w:val="BodyText"/>
        <w:jc w:val="center"/>
        <w:rPr>
          <w:u w:val="single"/>
        </w:rPr>
      </w:pPr>
      <w:r>
        <w:rPr>
          <w:u w:val="single"/>
        </w:rPr>
      </w:r>
    </w:p>
    <w:p>
      <w:pPr>
        <w:pStyle w:val="BodyText"/>
        <w:numPr>
          <w:ilvl w:val="0"/>
          <w:numId w:val="0"/>
        </w:numPr>
        <w:ind w:firstLine="1440" w:start="0"/>
        <w:jc w:val="center"/>
        <w:outlineLvl w:val="0"/>
        <w:rPr>
          <w:u w:val="single"/>
        </w:rPr>
      </w:pPr>
      <w:r>
        <w:rPr>
          <w:u w:val="single"/>
        </w:rPr>
        <w:t>Curtailment</w:t>
      </w:r>
    </w:p>
    <w:p>
      <w:pPr>
        <w:pStyle w:val="BodyText"/>
        <w:rPr/>
      </w:pPr>
      <w:r>
        <w:rPr/>
        <w:t>PG&amp;E will attempt to give customers or their authorized agents 24-hour notice of an impending service restriction or, at minimum, as much notice as is possible under the circumstances.</w:t>
      </w:r>
      <w:r>
        <w:rPr>
          <w:rStyle w:val="FootnoteCharacters"/>
          <w:rStyle w:val="FootnoteReference"/>
        </w:rPr>
        <w:footnoteReference w:id="4"/>
      </w:r>
    </w:p>
    <w:p>
      <w:pPr>
        <w:pStyle w:val="BodyText"/>
        <w:rPr/>
      </w:pPr>
      <w:r>
        <w:rPr/>
        <w:t>The priority of service at transmission, delivery, and receipt points and storage injection and withdrawal points will follow this sequence:</w:t>
      </w:r>
      <w:r>
        <w:rPr>
          <w:rStyle w:val="FootnoteCharacters"/>
          <w:rStyle w:val="FootnoteReference"/>
        </w:rPr>
        <w:footnoteReference w:id="5"/>
      </w:r>
    </w:p>
    <w:p>
      <w:pPr>
        <w:pStyle w:val="BodyText"/>
        <w:spacing w:lineRule="auto" w:line="240"/>
        <w:ind w:hanging="720" w:start="2160" w:end="0"/>
        <w:rPr/>
      </w:pPr>
      <w:r>
        <w:rPr/>
        <w:t>1.</w:t>
        <w:tab/>
        <w:t>All Firm service at a given point path will be treated equally, with pro rata allocation of nominations, if necessary;</w:t>
      </w:r>
    </w:p>
    <w:p>
      <w:pPr>
        <w:pStyle w:val="BodyText"/>
        <w:spacing w:lineRule="auto" w:line="240"/>
        <w:ind w:hanging="720" w:start="2160" w:end="0"/>
        <w:rPr/>
      </w:pPr>
      <w:r>
        <w:rPr/>
        <w:t>2.</w:t>
        <w:tab/>
        <w:t>As-available service will be scheduled according to contract price with the lowest price capacity interrupted first.</w:t>
      </w:r>
    </w:p>
    <w:p>
      <w:pPr>
        <w:pStyle w:val="BodyText"/>
        <w:rPr/>
      </w:pPr>
      <w:r>
        <w:rPr/>
      </w:r>
    </w:p>
    <w:p>
      <w:pPr>
        <w:pStyle w:val="BodyText"/>
        <w:rPr/>
      </w:pPr>
      <w:r>
        <w:rPr/>
        <w:t>PG&amp;E may invoke Operational Flow Orders “in order to protect the integrity of its pipeline system.”</w:t>
      </w:r>
      <w:r>
        <w:rPr>
          <w:rStyle w:val="FootnoteCharacters"/>
          <w:rStyle w:val="FootnoteReference"/>
        </w:rPr>
        <w:footnoteReference w:id="6"/>
      </w:r>
      <w:r>
        <w:rPr/>
        <w:t xml:space="preserve">  In an OFO situation PG&amp;E will issue and implement system-wide, local, or Customer-specific restrictions as needed.</w:t>
      </w:r>
      <w:r>
        <w:rPr>
          <w:rStyle w:val="FootnoteCharacters"/>
          <w:rStyle w:val="FootnoteReference"/>
        </w:rPr>
        <w:footnoteReference w:id="7"/>
      </w:r>
      <w:r>
        <w:rPr/>
        <w:t xml:space="preserve">  PG&amp;E will issue an OFO for a Gas day if, on the day before, PG&amp;E’s forecast of pipeline inventory is either below the Lower pipeline Inventory Limit or above the Upper Pipeline Inventory Limit.  If PG&amp;E issues an OFO, Balancing Agents will be required to balance supply and demand on a daily basis within a specified tolerance band or be subject to charges for noncompliance.  PG&amp;E may elect not to issue an OFO for a Gas Day if the forecast of pipeline inventory for the day following the Gas Day indicates the pipeline inventory will return to within the Pipeline Inventory Limits without the assistance of an OFO.  </w:t>
      </w:r>
    </w:p>
    <w:p>
      <w:pPr>
        <w:pStyle w:val="BodyText"/>
        <w:rPr/>
      </w:pPr>
      <w:r>
        <w:rPr/>
        <w:t>PG&amp;E may implement multi-stage OFO provision charges, as follows:</w:t>
      </w:r>
      <w:r>
        <w:rPr>
          <w:rStyle w:val="FootnoteCharacters"/>
          <w:rStyle w:val="FootnoteReference"/>
        </w:rPr>
        <w:footnoteReference w:id="8"/>
      </w:r>
    </w:p>
    <w:p>
      <w:pPr>
        <w:pStyle w:val="BodyText"/>
        <w:rPr/>
      </w:pPr>
      <w:r>
        <w:rPr/>
        <w:t>Tolerance Band</w:t>
        <w:tab/>
        <w:tab/>
        <w:t>Noncompliance Charge Per Therm</w:t>
      </w:r>
    </w:p>
    <w:p>
      <w:pPr>
        <w:pStyle w:val="BodyText"/>
        <w:ind w:hanging="0" w:end="0"/>
        <w:rPr/>
      </w:pPr>
      <w:r>
        <w:rPr/>
        <w:t>Stage 1:</w:t>
        <w:tab/>
        <w:t>up to +/-25%</w:t>
        <w:tab/>
        <w:tab/>
        <w:tab/>
        <w:t>$0.025</w:t>
      </w:r>
    </w:p>
    <w:p>
      <w:pPr>
        <w:pStyle w:val="BodyText"/>
        <w:ind w:hanging="0" w:end="0"/>
        <w:rPr/>
      </w:pPr>
      <w:r>
        <w:rPr/>
        <w:t>Stage 2:</w:t>
        <w:tab/>
        <w:t>up to +/-20%</w:t>
        <w:tab/>
        <w:tab/>
        <w:tab/>
        <w:t>$0.10</w:t>
      </w:r>
    </w:p>
    <w:p>
      <w:pPr>
        <w:pStyle w:val="BodyText"/>
        <w:ind w:hanging="0" w:end="0"/>
        <w:rPr/>
      </w:pPr>
      <w:r>
        <w:rPr/>
        <w:t>Stage 3:</w:t>
        <w:tab/>
        <w:t>up to +/-15%</w:t>
        <w:tab/>
        <w:tab/>
        <w:tab/>
        <w:t>$0.50</w:t>
      </w:r>
    </w:p>
    <w:p>
      <w:pPr>
        <w:pStyle w:val="BodyText"/>
        <w:ind w:hanging="0" w:end="0"/>
        <w:rPr/>
      </w:pPr>
      <w:r>
        <w:rPr/>
        <w:t>Stage 4</w:t>
        <w:tab/>
        <w:tab/>
        <w:t>up to +/-5%</w:t>
        <w:tab/>
        <w:tab/>
        <w:tab/>
        <w:t>$2.50</w:t>
      </w:r>
    </w:p>
    <w:p>
      <w:pPr>
        <w:pStyle w:val="BodyText"/>
        <w:ind w:hanging="0" w:end="0"/>
        <w:rPr/>
      </w:pPr>
      <w:r>
        <w:rPr/>
        <w:tab/>
        <w:tab/>
        <w:t>PG&amp;E may issue and implement an OFO with a one-sided tolerance band, and related non-compliance charges in one direction only (i.e. an OFO with a –25% (-25%) tolerance band and $0.025 per therm noncompliance charge.</w:t>
      </w:r>
      <w:r>
        <w:rPr>
          <w:rStyle w:val="FootnoteCharacters"/>
          <w:rStyle w:val="FootnoteReference"/>
        </w:rPr>
        <w:footnoteReference w:id="9"/>
      </w:r>
      <w:r>
        <w:rPr/>
        <w:t xml:space="preserve">  Generally an initial OFO event will start at Stage 1 with a noncompliance charge of $0.025 per therm, however an OFO event may begin at any stage with the corresponding noncompliance charge as deemed appropriate by PG&amp;E.  A specific Balancing Agent may start at an elevated charge level if that Balancing Agent has a history of noncompliance with prior PG&amp;E requests or orders for the Balancing Agent to balance supply with demands.  An OFO will normally be ordered with at least 12 hours prior notice to the beginning of the gas day, or as necessary as dictated by operating conditions.</w:t>
      </w:r>
      <w:r>
        <w:rPr>
          <w:rStyle w:val="FootnoteCharacters"/>
          <w:rStyle w:val="FootnoteReference"/>
        </w:rPr>
        <w:footnoteReference w:id="10"/>
      </w:r>
      <w:r>
        <w:rPr/>
        <w:t xml:space="preserve">  </w:t>
      </w:r>
    </w:p>
    <w:p>
      <w:pPr>
        <w:pStyle w:val="BodyText"/>
        <w:rPr/>
      </w:pPr>
      <w:r>
        <w:rPr/>
        <w:t>On OFO days, any Balancing Agent who has selected the Self-Balancing Option, will be required to comply with the tolerance band specified for that OFO day.</w:t>
      </w:r>
      <w:r>
        <w:rPr>
          <w:rStyle w:val="FootnoteCharacters"/>
          <w:rStyle w:val="FootnoteReference"/>
        </w:rPr>
        <w:footnoteReference w:id="11"/>
      </w:r>
      <w:r>
        <w:rPr/>
        <w:t xml:space="preserve">  The Self-Balancing plus or minus 10% daily Imbalance tolerance will not apply on days when an OFO is in effect.  A Self-Balancing Agent will not be subject to Accumulated Daily Imbalance Noncompliance Charges on high inventory OFO days if the Accumulated Daily Imbalance is negative, or if on low inventory OFO days the Accumulated Daily Imbalance is positive.  Any imbalance that occurs on that OFO day will be included as part of a customer’s on going accumulated Daily Imbalance calculation.</w:t>
      </w:r>
      <w:r>
        <w:rPr>
          <w:rStyle w:val="FootnoteCharacters"/>
          <w:rStyle w:val="FootnoteReference"/>
        </w:rPr>
        <w:footnoteReference w:id="12"/>
      </w:r>
    </w:p>
    <w:p>
      <w:pPr>
        <w:pStyle w:val="BodyText"/>
        <w:rPr/>
      </w:pPr>
      <w:r>
        <w:rPr/>
        <w:t>Much more severe than OFOs, PG&amp;E may also issue an Emergency Flow Order, when a forecast or an actual supply and/or capacity shortage threatens deliveries to End-Use Customers.</w:t>
      </w:r>
      <w:r>
        <w:rPr>
          <w:rStyle w:val="FootnoteCharacters"/>
          <w:rStyle w:val="FootnoteReference"/>
        </w:rPr>
        <w:footnoteReference w:id="13"/>
      </w:r>
      <w:r>
        <w:rPr/>
        <w:t xml:space="preserve">  During an EFO, customers’ usage must be less than or equal to supply for a gas day.  EFOs will have a zero (0) % tolerance and a $5.00/th noncompliance charge for each therm of usage in excess of supply.</w:t>
      </w:r>
      <w:r>
        <w:rPr>
          <w:rStyle w:val="FootnoteCharacters"/>
          <w:rStyle w:val="FootnoteReference"/>
        </w:rPr>
        <w:footnoteReference w:id="14"/>
      </w:r>
    </w:p>
    <w:p>
      <w:pPr>
        <w:pStyle w:val="BodyText"/>
        <w:spacing w:lineRule="auto" w:line="240"/>
        <w:ind w:firstLine="720" w:start="1440" w:end="0"/>
        <w:rPr/>
      </w:pPr>
      <w:r>
        <w:rPr/>
      </w:r>
    </w:p>
    <w:p>
      <w:pPr>
        <w:pStyle w:val="BodyText"/>
        <w:rPr/>
      </w:pPr>
      <w:r>
        <w:rPr/>
        <w:t>If PG&amp;E invokes an involuntary supply diversion in conjunction with an EFO, an additional $5/th diversion usage charge will apply for a total involuntary diversion charge of $10/th for all gas delivered in excess of the supply received by PG&amp;E.  There is no minimum notice period for EFOs; however, PG&amp;E will try to provide as much notification as possible.</w:t>
      </w:r>
      <w:r>
        <w:rPr>
          <w:rStyle w:val="FootnoteCharacters"/>
          <w:rStyle w:val="FootnoteReference"/>
        </w:rPr>
        <w:footnoteReference w:id="15"/>
      </w:r>
    </w:p>
    <w:p>
      <w:pPr>
        <w:pStyle w:val="BodyText"/>
        <w:jc w:val="center"/>
        <w:rPr>
          <w:u w:val="single"/>
        </w:rPr>
      </w:pPr>
      <w:r>
        <w:rPr>
          <w:u w:val="single"/>
        </w:rPr>
      </w:r>
    </w:p>
    <w:p>
      <w:pPr>
        <w:pStyle w:val="BodyText"/>
        <w:numPr>
          <w:ilvl w:val="0"/>
          <w:numId w:val="0"/>
        </w:numPr>
        <w:ind w:firstLine="1440" w:start="0"/>
        <w:jc w:val="center"/>
        <w:outlineLvl w:val="0"/>
        <w:rPr>
          <w:u w:val="single"/>
        </w:rPr>
      </w:pPr>
      <w:r>
        <w:rPr>
          <w:u w:val="single"/>
        </w:rPr>
        <w:t>Diversion of Gas</w:t>
      </w:r>
    </w:p>
    <w:p>
      <w:pPr>
        <w:pStyle w:val="BodyText"/>
        <w:rPr/>
      </w:pPr>
      <w:r>
        <w:rPr/>
        <w:t>If operational conditions exist such that supply is insufficient to meet demand and deliveries to Core End-Use Customers are threatened, PG&amp;E may divert gas supply in its system from Noncore End-Use Customers to Core End-Use Customers.</w:t>
      </w:r>
      <w:r>
        <w:rPr>
          <w:rStyle w:val="FootnoteCharacters"/>
          <w:rStyle w:val="FootnoteReference"/>
        </w:rPr>
        <w:footnoteReference w:id="16"/>
      </w:r>
      <w:r>
        <w:rPr/>
        <w:t xml:space="preserve">  Emergency Flow Order provisions will apply under these conditions.  If a Noncore End-Use Customer’s supply is diverted, either involuntarily under this rule, or through a voluntary arrangement with representatives of Core End-Use or Noncore End-Use Customers, that Customer must stop or reduce its use of natural gas.  If the Customer fails to stop or reduce its gas use, that Customer must pay EFO charges as provided below.  </w:t>
      </w:r>
    </w:p>
    <w:p>
      <w:pPr>
        <w:pStyle w:val="BodyText"/>
        <w:rPr/>
      </w:pPr>
      <w:r>
        <w:rPr/>
        <w:t>If PG&amp;E diverts for Core End-use Customers, PG&amp;E will not be responsible for any interstate charges associated with the diverted gas.  PG&amp;E may divert gas supplies from Backbone Transmission System Customers; however, Firm transportation to off-system is not subject to diversion.  Diversions will occur in the following order:</w:t>
      </w:r>
      <w:r>
        <w:rPr>
          <w:rStyle w:val="FootnoteCharacters"/>
          <w:rStyle w:val="FootnoteReference"/>
        </w:rPr>
        <w:footnoteReference w:id="17"/>
      </w:r>
    </w:p>
    <w:p>
      <w:pPr>
        <w:pStyle w:val="BodyText"/>
        <w:spacing w:lineRule="auto" w:line="240"/>
        <w:ind w:hanging="720" w:start="2160" w:end="0"/>
        <w:rPr/>
      </w:pPr>
      <w:r>
        <w:rPr/>
        <w:t xml:space="preserve">A) </w:t>
        <w:tab/>
        <w:t>Supply scheduled under As-available transmission service will be diverted in the order of increasing transmission contract price and on a pro rata basis for all volumes transported under the same price.  However supply under scheduled deliveries from storage using As-Available transmission service will be treated as the highest priority Firm Transmission service.</w:t>
      </w:r>
    </w:p>
    <w:p>
      <w:pPr>
        <w:pStyle w:val="BodyText"/>
        <w:spacing w:lineRule="auto" w:line="240"/>
        <w:ind w:hanging="720" w:start="2160" w:end="0"/>
        <w:rPr/>
      </w:pPr>
      <w:r>
        <w:rPr/>
      </w:r>
    </w:p>
    <w:p>
      <w:pPr>
        <w:pStyle w:val="BodyText"/>
        <w:spacing w:lineRule="auto" w:line="240"/>
        <w:ind w:hanging="720" w:start="2160" w:end="0"/>
        <w:rPr/>
      </w:pPr>
      <w:r>
        <w:rPr/>
        <w:t xml:space="preserve">B) </w:t>
        <w:tab/>
        <w:t>Supply scheduled to Noncore End-user Customers under Firm transmission service is diverted on a pro rata basis.</w:t>
      </w:r>
    </w:p>
    <w:p>
      <w:pPr>
        <w:pStyle w:val="BodyText"/>
        <w:spacing w:lineRule="auto" w:line="240"/>
        <w:ind w:hanging="720" w:start="2160" w:end="0"/>
        <w:rPr/>
      </w:pPr>
      <w:r>
        <w:rPr/>
      </w:r>
    </w:p>
    <w:p>
      <w:pPr>
        <w:pStyle w:val="BodyText"/>
        <w:spacing w:lineRule="auto" w:line="240"/>
        <w:ind w:hanging="720" w:start="2160" w:end="0"/>
        <w:rPr/>
      </w:pPr>
      <w:r>
        <w:rPr/>
        <w:t xml:space="preserve">C) </w:t>
        <w:tab/>
        <w:t>Scheduled deliveries from storage using Firm or As-available transmission service will be treated as the highest priority Firm transmission service and will be diverted on a pro rata basis.</w:t>
      </w:r>
    </w:p>
    <w:p>
      <w:pPr>
        <w:pStyle w:val="BodyText"/>
        <w:rPr/>
      </w:pPr>
      <w:r>
        <w:rPr/>
      </w:r>
    </w:p>
    <w:p>
      <w:pPr>
        <w:pStyle w:val="BodyText"/>
        <w:rPr/>
      </w:pPr>
      <w:r>
        <w:rPr/>
        <w:t>For a Core Procurement Group, compliance and the calculation after the involuntary diversion event of any involuntary diversion charge is based on the latest available forecast from the core load forecast model for the CP group prior to the time the event is called, up to and including a 5:00 p.m. Pacific Time Forecast, and the CP Group’s original supply before an involuntary diversion.</w:t>
      </w:r>
    </w:p>
    <w:p>
      <w:pPr>
        <w:pStyle w:val="BodyText"/>
        <w:rPr/>
      </w:pPr>
      <w:r>
        <w:rPr/>
        <w:t>Firm transmission service customers whose gas supply is involuntarily diverted will receive a $5/th diversion credit.  As-available transmission service customers whose gas supply is involuntarily diverted will receive a diversion credit based on the current market price of the diverted supply on the day it was diverted, the current market price will be based, except in unusual situations, on an average of the published price data from Natural Gas Intelligence and the BTU Gas Wire for the PG&amp;E interconnect points of Malin and Topock weighted by the supply mix of all gas received at Malin and Topock for on system End–Use Customers for that day.</w:t>
      </w:r>
      <w:r>
        <w:rPr>
          <w:rStyle w:val="FootnoteCharacters"/>
          <w:rStyle w:val="FootnoteReference"/>
        </w:rPr>
        <w:footnoteReference w:id="18"/>
      </w:r>
      <w:r>
        <w:rPr/>
        <w:t xml:space="preserve"> </w:t>
      </w:r>
    </w:p>
    <w:p>
      <w:pPr>
        <w:pStyle w:val="BodyText"/>
        <w:jc w:val="center"/>
        <w:rPr>
          <w:b/>
          <w:u w:val="single"/>
        </w:rPr>
      </w:pPr>
      <w:r>
        <w:rPr>
          <w:b/>
          <w:u w:val="single"/>
        </w:rPr>
      </w:r>
    </w:p>
    <w:p>
      <w:pPr>
        <w:pStyle w:val="BodyText"/>
        <w:numPr>
          <w:ilvl w:val="0"/>
          <w:numId w:val="0"/>
        </w:numPr>
        <w:ind w:firstLine="1440" w:start="0"/>
        <w:jc w:val="center"/>
        <w:outlineLvl w:val="0"/>
        <w:rPr>
          <w:b/>
          <w:u w:val="single"/>
        </w:rPr>
      </w:pPr>
      <w:r>
        <w:rPr>
          <w:b/>
          <w:u w:val="single"/>
        </w:rPr>
        <w:t>SoCalGas Curtailment and Diversion Procedures</w:t>
      </w:r>
    </w:p>
    <w:p>
      <w:pPr>
        <w:pStyle w:val="BodyText"/>
        <w:rPr/>
      </w:pPr>
      <w:r>
        <w:rPr/>
        <w:t>SoCalGas has set out its curtailment procedures in Rule 23 of its tariff.  If there is a threatened or actual shortage creating an emergency condition for Priority 1 and 2A customers, the Utility may curtail or divert service of all customers.  Customers who do not follow SoCalGas’ curtailment procedures will be subject to significant penalties.  Compensation for firm intrastate transmission customers is set at $ 0.25 per therm of gas curtailed or diverted.</w:t>
      </w:r>
    </w:p>
    <w:p>
      <w:pPr>
        <w:pStyle w:val="BodyText"/>
        <w:jc w:val="center"/>
        <w:rPr>
          <w:u w:val="single"/>
        </w:rPr>
      </w:pPr>
      <w:r>
        <w:rPr>
          <w:u w:val="single"/>
        </w:rPr>
      </w:r>
    </w:p>
    <w:p>
      <w:pPr>
        <w:pStyle w:val="BodyText"/>
        <w:numPr>
          <w:ilvl w:val="0"/>
          <w:numId w:val="0"/>
        </w:numPr>
        <w:ind w:firstLine="1440" w:start="0"/>
        <w:jc w:val="center"/>
        <w:outlineLvl w:val="0"/>
        <w:rPr>
          <w:u w:val="single"/>
        </w:rPr>
      </w:pPr>
      <w:r>
        <w:rPr>
          <w:u w:val="single"/>
        </w:rPr>
        <w:t>Curtailment</w:t>
      </w:r>
    </w:p>
    <w:p>
      <w:pPr>
        <w:pStyle w:val="BodyText"/>
        <w:rPr/>
      </w:pPr>
      <w:r>
        <w:rPr/>
        <w:t>If SoCalGas has to curtail service and/or divert customer-owned gas, it will follow this sequence:</w:t>
      </w:r>
      <w:r>
        <w:rPr>
          <w:rStyle w:val="FootnoteCharacters"/>
          <w:rStyle w:val="FootnoteReference"/>
        </w:rPr>
        <w:footnoteReference w:id="19"/>
      </w:r>
    </w:p>
    <w:p>
      <w:pPr>
        <w:pStyle w:val="BodyText"/>
        <w:spacing w:lineRule="auto" w:line="240"/>
        <w:rPr/>
      </w:pPr>
      <w:r>
        <w:rPr/>
        <w:t>1)</w:t>
        <w:tab/>
      </w:r>
      <w:r>
        <w:rPr>
          <w:u w:val="single"/>
        </w:rPr>
        <w:t>All interruptible noncore Standby Procurement service</w:t>
      </w:r>
      <w:r>
        <w:rPr/>
        <w:t>.</w:t>
      </w:r>
    </w:p>
    <w:p>
      <w:pPr>
        <w:pStyle w:val="BodyText"/>
        <w:spacing w:lineRule="auto" w:line="240"/>
        <w:rPr/>
      </w:pPr>
      <w:r>
        <w:rPr/>
      </w:r>
    </w:p>
    <w:p>
      <w:pPr>
        <w:pStyle w:val="BodyText"/>
        <w:spacing w:lineRule="auto" w:line="240"/>
        <w:rPr/>
      </w:pPr>
      <w:r>
        <w:rPr/>
        <w:t>2)</w:t>
        <w:tab/>
      </w:r>
      <w:r>
        <w:rPr>
          <w:u w:val="single"/>
        </w:rPr>
        <w:t>All firm noncore Standby Procurement service</w:t>
      </w:r>
    </w:p>
    <w:p>
      <w:pPr>
        <w:pStyle w:val="BodyText"/>
        <w:spacing w:lineRule="auto" w:line="240"/>
        <w:rPr/>
      </w:pPr>
      <w:r>
        <w:rPr/>
      </w:r>
    </w:p>
    <w:p>
      <w:pPr>
        <w:pStyle w:val="BodyText"/>
        <w:spacing w:lineRule="auto" w:line="240"/>
        <w:rPr/>
      </w:pPr>
      <w:r>
        <w:rPr/>
        <w:t xml:space="preserve">3) </w:t>
        <w:tab/>
      </w:r>
      <w:r>
        <w:rPr>
          <w:u w:val="single"/>
        </w:rPr>
        <w:t>All inter-utility service provided under Schedule No. GIT</w:t>
      </w:r>
    </w:p>
    <w:p>
      <w:pPr>
        <w:pStyle w:val="BodyText"/>
        <w:spacing w:lineRule="auto" w:line="240"/>
        <w:ind w:hanging="720" w:start="2160" w:end="0"/>
        <w:rPr/>
      </w:pPr>
      <w:r>
        <w:rPr/>
      </w:r>
    </w:p>
    <w:p>
      <w:pPr>
        <w:pStyle w:val="BodyText"/>
        <w:spacing w:lineRule="auto" w:line="240"/>
        <w:ind w:hanging="720" w:start="2160" w:end="0"/>
        <w:rPr/>
      </w:pPr>
      <w:r>
        <w:rPr/>
        <w:t>4)</w:t>
        <w:tab/>
      </w:r>
      <w:r>
        <w:rPr>
          <w:u w:val="single"/>
        </w:rPr>
        <w:t>All as-available storage withdrawal service, provided under Schedule No. G-AUC</w:t>
      </w:r>
      <w:r>
        <w:rPr/>
        <w:t>, or portions thereof according to the as-available withdrawal reservation price paid with customers paying the lowest price curtailed first and customers paying the highest price curtailed last.  Customers paying the same price will be curtailed on a pro rata basis with the exception that all UEG service shall be curtailed before cogeneration service.</w:t>
      </w:r>
    </w:p>
    <w:p>
      <w:pPr>
        <w:pStyle w:val="BodyText"/>
        <w:spacing w:lineRule="auto" w:line="240"/>
        <w:ind w:hanging="720" w:start="2160" w:end="0"/>
        <w:rPr/>
      </w:pPr>
      <w:r>
        <w:rPr/>
      </w:r>
    </w:p>
    <w:p>
      <w:pPr>
        <w:pStyle w:val="BodyText"/>
        <w:spacing w:lineRule="auto" w:line="240"/>
        <w:ind w:hanging="720" w:start="2160" w:end="0"/>
        <w:rPr/>
      </w:pPr>
      <w:r>
        <w:rPr/>
        <w:t xml:space="preserve">5) </w:t>
        <w:tab/>
      </w:r>
      <w:r>
        <w:rPr>
          <w:u w:val="single"/>
        </w:rPr>
        <w:t>All interruptible intrastate service</w:t>
      </w:r>
      <w:r>
        <w:rPr/>
        <w:t xml:space="preserve"> according to the percentage of default rate paid, as defined in Rule No. 1, with customers paying the lowest percentage of default curtailed first.  Customers paying the same percentage of default shall be curtailed on a pro rata basis (by equal percentage) with the exception that all UEG service shall be curtailed before cogeneration service where such service is at the same percentage of default.</w:t>
      </w:r>
    </w:p>
    <w:p>
      <w:pPr>
        <w:pStyle w:val="BodyText"/>
        <w:spacing w:lineRule="auto" w:line="240"/>
        <w:ind w:hanging="720" w:start="2160" w:end="0"/>
        <w:rPr/>
      </w:pPr>
      <w:r>
        <w:rPr/>
      </w:r>
    </w:p>
    <w:p>
      <w:pPr>
        <w:pStyle w:val="BodyText"/>
        <w:spacing w:lineRule="auto" w:line="240"/>
        <w:ind w:hanging="720" w:start="2160" w:end="0"/>
        <w:rPr/>
      </w:pPr>
      <w:r>
        <w:rPr/>
        <w:t>6)</w:t>
        <w:tab/>
      </w:r>
      <w:r>
        <w:rPr>
          <w:u w:val="single"/>
        </w:rPr>
        <w:t>All firm intrastate service on a rotating basis</w:t>
      </w:r>
      <w:r>
        <w:rPr/>
        <w:t xml:space="preserve">.  (Customers shall be separated into 2 firm service curtailment lists.  The first list shall be for UEG and cogeneration customers and the second list shall be for all other firm service customers.  Lottery or some other non-discriminatory means shall decide the order of the customers on the 2 lists.  Then SoCalGas will aggregate customers with peak day usage under 20MMcfd into blocks of approximately 20 MMcfd, to the extent possible)  </w:t>
      </w:r>
    </w:p>
    <w:p>
      <w:pPr>
        <w:pStyle w:val="BodyText"/>
        <w:spacing w:lineRule="auto" w:line="240"/>
        <w:ind w:hanging="0" w:start="2160" w:end="0"/>
        <w:rPr/>
      </w:pPr>
      <w:r>
        <w:rPr/>
        <w:t>During any period of firm intrastate service curtailment, standby procurement service shall be made available to core transportation customers.  During such a curtailment period, however, core transportation customers using standby procurement in excess of the 10% tolerance band shall pay a curtailment violation penalty.  In the event of a firm service curtailment, SoCalGas shall curtail, in unison, that number of customer blocks necessary to provide for a sufficient level of curtailment.  The customer blocks shall be established by selecting the first customer block from one firm service list, then selecting the first customer block from the other firm service list.</w:t>
      </w:r>
    </w:p>
    <w:p>
      <w:pPr>
        <w:pStyle w:val="BodyText"/>
        <w:spacing w:lineRule="auto" w:line="240"/>
        <w:ind w:hanging="720" w:start="2160" w:end="0"/>
        <w:rPr/>
      </w:pPr>
      <w:r>
        <w:rPr/>
      </w:r>
    </w:p>
    <w:p>
      <w:pPr>
        <w:pStyle w:val="BodyText"/>
        <w:spacing w:lineRule="auto" w:line="240"/>
        <w:ind w:hanging="720" w:start="2160" w:end="0"/>
        <w:rPr/>
      </w:pPr>
      <w:r>
        <w:rPr/>
        <w:t>7)</w:t>
        <w:tab/>
      </w:r>
      <w:r>
        <w:rPr>
          <w:u w:val="single"/>
        </w:rPr>
        <w:t>All firm unbundled storage withdrawal</w:t>
      </w:r>
      <w:r>
        <w:rPr/>
        <w:t>, equally with the Utility’s core price function storage, on a pro rata basis with the exception that all UEG service shall be curtailed before cogeneration service.</w:t>
      </w:r>
    </w:p>
    <w:p>
      <w:pPr>
        <w:pStyle w:val="BodyText"/>
        <w:spacing w:lineRule="auto" w:line="240"/>
        <w:ind w:hanging="720" w:start="2160" w:end="0"/>
        <w:rPr/>
      </w:pPr>
      <w:r>
        <w:rPr/>
      </w:r>
    </w:p>
    <w:p>
      <w:pPr>
        <w:pStyle w:val="BodyText"/>
        <w:spacing w:lineRule="auto" w:line="240"/>
        <w:ind w:hanging="720" w:start="2160" w:end="0"/>
        <w:rPr/>
      </w:pPr>
      <w:r>
        <w:rPr/>
        <w:t>8)</w:t>
        <w:tab/>
      </w:r>
      <w:r>
        <w:rPr>
          <w:u w:val="single"/>
        </w:rPr>
        <w:t>All priority 2A service on a pro rata basis.</w:t>
      </w:r>
    </w:p>
    <w:p>
      <w:pPr>
        <w:pStyle w:val="BodyText"/>
        <w:spacing w:lineRule="auto" w:line="240"/>
        <w:ind w:hanging="720" w:start="2160" w:end="0"/>
        <w:rPr/>
      </w:pPr>
      <w:r>
        <w:rPr/>
      </w:r>
    </w:p>
    <w:p>
      <w:pPr>
        <w:pStyle w:val="BodyText"/>
        <w:spacing w:lineRule="auto" w:line="240"/>
        <w:ind w:hanging="720" w:start="2160" w:end="0"/>
        <w:rPr/>
      </w:pPr>
      <w:r>
        <w:rPr/>
        <w:t>9)</w:t>
        <w:tab/>
      </w:r>
      <w:r>
        <w:rPr>
          <w:u w:val="single"/>
        </w:rPr>
        <w:t>All Priority 1 non-residential service on a pro rata basis</w:t>
      </w:r>
      <w:r>
        <w:rPr/>
        <w:t>.</w:t>
      </w:r>
    </w:p>
    <w:p>
      <w:pPr>
        <w:pStyle w:val="BodyText"/>
        <w:spacing w:lineRule="auto" w:line="240"/>
        <w:ind w:hanging="720" w:start="2160" w:end="0"/>
        <w:rPr/>
      </w:pPr>
      <w:r>
        <w:rPr/>
      </w:r>
    </w:p>
    <w:p>
      <w:pPr>
        <w:pStyle w:val="BodyText"/>
        <w:spacing w:lineRule="auto" w:line="240"/>
        <w:ind w:hanging="720" w:start="2160" w:end="0"/>
        <w:rPr/>
      </w:pPr>
      <w:r>
        <w:rPr/>
        <w:t>10)</w:t>
        <w:tab/>
      </w:r>
      <w:r>
        <w:rPr>
          <w:u w:val="single"/>
        </w:rPr>
        <w:t>All Priority 1 residential service on a pro rata basis</w:t>
      </w:r>
      <w:r>
        <w:rPr/>
        <w:t xml:space="preserve">.  </w:t>
      </w:r>
    </w:p>
    <w:p>
      <w:pPr>
        <w:pStyle w:val="BodyText"/>
        <w:spacing w:lineRule="auto" w:line="240"/>
        <w:ind w:hanging="720" w:start="2160" w:end="0"/>
        <w:rPr/>
      </w:pPr>
      <w:r>
        <w:rPr/>
      </w:r>
    </w:p>
    <w:p>
      <w:pPr>
        <w:pStyle w:val="BodyText"/>
        <w:rPr/>
      </w:pPr>
      <w:r>
        <w:rPr/>
      </w:r>
    </w:p>
    <w:p>
      <w:pPr>
        <w:pStyle w:val="BodyText"/>
        <w:rPr/>
      </w:pPr>
      <w:r>
        <w:rPr/>
        <w:t>If a critical customer</w:t>
      </w:r>
      <w:r>
        <w:rPr>
          <w:rStyle w:val="FootnoteCharacters"/>
          <w:rStyle w:val="FootnoteReference"/>
        </w:rPr>
        <w:footnoteReference w:id="20"/>
      </w:r>
      <w:r>
        <w:rPr/>
        <w:t xml:space="preserve"> declares an operating emergency at its facility, SoCalGas may disregard the normal curtailment pattern to provide service to this customer.  The utility may impose subsequent out-of-pattern curtailment on this customer to balance the amount of curtailment with other customers at the same level on the curtailment order.  </w:t>
      </w:r>
    </w:p>
    <w:p>
      <w:pPr>
        <w:pStyle w:val="BodyText"/>
        <w:rPr/>
      </w:pPr>
      <w:r>
        <w:rPr/>
        <w:t>When SoCalGas decide to stop curtailment of service, it will restore service in the reverse order that it curtailed it.  But SoCalGas reserves the right to restore firm intrastate service in such order as it deems necessary irrespective of the curtailment rotation list it established.</w:t>
      </w:r>
      <w:r>
        <w:rPr>
          <w:rStyle w:val="FootnoteCharacters"/>
          <w:rStyle w:val="FootnoteReference"/>
        </w:rPr>
        <w:footnoteReference w:id="21"/>
      </w:r>
    </w:p>
    <w:p>
      <w:pPr>
        <w:pStyle w:val="BodyText"/>
        <w:jc w:val="center"/>
        <w:rPr>
          <w:u w:val="single"/>
        </w:rPr>
      </w:pPr>
      <w:r>
        <w:rPr>
          <w:u w:val="single"/>
        </w:rPr>
      </w:r>
    </w:p>
    <w:p>
      <w:pPr>
        <w:pStyle w:val="BodyText"/>
        <w:numPr>
          <w:ilvl w:val="0"/>
          <w:numId w:val="0"/>
        </w:numPr>
        <w:ind w:firstLine="1440" w:start="0"/>
        <w:jc w:val="center"/>
        <w:outlineLvl w:val="0"/>
        <w:rPr>
          <w:u w:val="single"/>
        </w:rPr>
      </w:pPr>
      <w:r>
        <w:rPr>
          <w:u w:val="single"/>
        </w:rPr>
        <w:t>Diversion</w:t>
      </w:r>
    </w:p>
    <w:p>
      <w:pPr>
        <w:pStyle w:val="BodyText"/>
        <w:numPr>
          <w:ilvl w:val="0"/>
          <w:numId w:val="0"/>
        </w:numPr>
        <w:ind w:firstLine="1440" w:start="0"/>
        <w:outlineLvl w:val="0"/>
        <w:rPr/>
      </w:pPr>
      <w:r>
        <w:rPr/>
        <w:t>If SoCalGas has to divert customer owned gas it will do so in this order:</w:t>
      </w:r>
      <w:r>
        <w:rPr>
          <w:rStyle w:val="FootnoteCharacters"/>
          <w:rStyle w:val="FootnoteReference"/>
        </w:rPr>
        <w:footnoteReference w:id="22"/>
      </w:r>
    </w:p>
    <w:p>
      <w:pPr>
        <w:pStyle w:val="BodyText"/>
        <w:rPr/>
      </w:pPr>
      <w:r>
        <w:rPr/>
        <w:t>1)</w:t>
        <w:tab/>
        <w:t>Voluntary diversion agreements</w:t>
      </w:r>
    </w:p>
    <w:p>
      <w:pPr>
        <w:pStyle w:val="BodyText"/>
        <w:rPr/>
      </w:pPr>
      <w:r>
        <w:rPr/>
        <w:t>2)</w:t>
        <w:tab/>
        <w:t>Voluntary core protection purchase agreements</w:t>
      </w:r>
    </w:p>
    <w:p>
      <w:pPr>
        <w:pStyle w:val="BodyText"/>
        <w:rPr/>
      </w:pPr>
      <w:r>
        <w:rPr/>
        <w:t xml:space="preserve">3) </w:t>
        <w:tab/>
        <w:t>Involuntary diversions</w:t>
      </w:r>
    </w:p>
    <w:p>
      <w:pPr>
        <w:pStyle w:val="BodyText"/>
        <w:rPr/>
      </w:pPr>
      <w:r>
        <w:rPr/>
        <w:t>If there is a threatened or actual shortage creating an emergency condition for Priority 1 and 2A customers, the Utility may curtail or divert service of all customers.  SoCalGas has the right to shut off, discontinue, re-establish, or continue service for all customers or a portion of such customers, irrespective of the priority or preference provisions set forth in its tariff, or contracts.  In such emergency situations, curtailments shall be generally made on a customer’s level of demand and transfers of curtailment responsibility shall not be allowed.</w:t>
      </w:r>
    </w:p>
    <w:p>
      <w:pPr>
        <w:pStyle w:val="BodyText"/>
        <w:rPr/>
      </w:pPr>
      <w:r>
        <w:rPr/>
        <w:t xml:space="preserve">In the case of a shortage at an electric generating plant, SoCalGas will provide gas to the plant, subject to the capability of its existing physical facilities and the requirements of higher priority customers.  SoCalGas will reallocate deliveries for use in electric generating plants deviating from the normal pattern of deliveries by the utility: </w:t>
      </w:r>
    </w:p>
    <w:p>
      <w:pPr>
        <w:pStyle w:val="BodyText"/>
        <w:spacing w:lineRule="auto" w:line="240"/>
        <w:rPr/>
      </w:pPr>
      <w:r>
        <w:rPr/>
        <w:t xml:space="preserve">a) </w:t>
        <w:tab/>
        <w:t xml:space="preserve">Of an emergency nature to avoid actual electric load curtailment, and/or </w:t>
      </w:r>
    </w:p>
    <w:p>
      <w:pPr>
        <w:pStyle w:val="BodyText"/>
        <w:spacing w:lineRule="auto" w:line="240"/>
        <w:ind w:hanging="720" w:start="2160" w:end="0"/>
        <w:rPr/>
      </w:pPr>
      <w:r>
        <w:rPr/>
        <w:t xml:space="preserve">b) </w:t>
        <w:tab/>
        <w:t>Based on requirements to minimize particularly adverse air pollution impacts expected to be of short duration.</w:t>
      </w:r>
    </w:p>
    <w:p>
      <w:pPr>
        <w:pStyle w:val="BodyText"/>
        <w:rPr/>
      </w:pPr>
      <w:r>
        <w:rPr/>
      </w:r>
    </w:p>
    <w:p>
      <w:pPr>
        <w:pStyle w:val="BodyText"/>
        <w:rPr/>
      </w:pPr>
      <w:r>
        <w:rPr/>
        <w:t>In order to assess possible penalties the Utility shall read the meter of the curtailed customer at the beginning and end of each curtailment period.</w:t>
      </w:r>
      <w:r>
        <w:rPr>
          <w:rStyle w:val="FootnoteCharacters"/>
          <w:rStyle w:val="FootnoteReference"/>
        </w:rPr>
        <w:footnoteReference w:id="23"/>
      </w:r>
      <w:r>
        <w:rPr/>
        <w:t xml:space="preserve">  Other than a customer operating emergency as declared by a customer,</w:t>
      </w:r>
      <w:r>
        <w:rPr>
          <w:rStyle w:val="FootnoteCharacters"/>
          <w:rStyle w:val="FootnoteReference"/>
        </w:rPr>
        <w:footnoteReference w:id="24"/>
      </w:r>
      <w:r>
        <w:rPr/>
        <w:t xml:space="preserve"> customers who fail to curtail on request will be assessed a penalty of $1.00 per therm for the initial 5 hours of the Customer’s operating day, $3.00 per therm for hours 6-8, and $10.00 per therm for hours 9 through the end of the curtailment period.  All other charges associated with such usage will apply.  Any customer failing to curtail after 48 hours will be immediately reassigned to a core rate schedule for a minimum period of one year.</w:t>
      </w:r>
      <w:r>
        <w:rPr>
          <w:rStyle w:val="FootnoteCharacters"/>
          <w:rStyle w:val="FootnoteReference"/>
        </w:rPr>
        <w:footnoteReference w:id="25"/>
      </w:r>
    </w:p>
    <w:p>
      <w:pPr>
        <w:pStyle w:val="BodyText"/>
        <w:rPr/>
      </w:pPr>
      <w:r>
        <w:rPr/>
        <w:t xml:space="preserve">Service interruption credits for firm intrastate transmission service are not available when the curtailment is the result of either </w:t>
      </w:r>
      <w:r>
        <w:rPr>
          <w:i/>
        </w:rPr>
        <w:t>force majeure</w:t>
      </w:r>
      <w:r>
        <w:rPr/>
        <w:t xml:space="preserve"> or scheduled maintenance or a curtailment of Standby Procurement service.  </w:t>
      </w:r>
    </w:p>
    <w:p>
      <w:pPr>
        <w:pStyle w:val="BodyText"/>
        <w:numPr>
          <w:ilvl w:val="0"/>
          <w:numId w:val="0"/>
        </w:numPr>
        <w:ind w:firstLine="1440" w:start="0"/>
        <w:jc w:val="center"/>
        <w:outlineLvl w:val="0"/>
        <w:rPr>
          <w:u w:val="single"/>
        </w:rPr>
      </w:pPr>
      <w:r>
        <w:rPr>
          <w:u w:val="single"/>
        </w:rPr>
        <w:t>Compensation</w:t>
      </w:r>
    </w:p>
    <w:p>
      <w:pPr>
        <w:pStyle w:val="BodyText"/>
        <w:rPr/>
      </w:pPr>
      <w:r>
        <w:rPr/>
        <w:t>SoCalGas compensates for diverted gas as follows: If a firm intrastate transmission customer experiences more than one qualifying interruption during a ten-year period beginning on the implementation date of the CPUC’s Capacity Brokering Rules, the Utility shall provide such customer with a Service Interruption Credit (“SIC”) of $ 0.25 per therm of gas curtailed or diverted.</w:t>
      </w:r>
    </w:p>
    <w:p>
      <w:pPr>
        <w:pStyle w:val="BodyText"/>
        <w:rPr/>
      </w:pPr>
      <w:r>
        <w:rPr/>
        <w:t xml:space="preserve">For the customer’s first qualifying interruption during the ten-year period, the SIC shall only apply to the volume of curtailed or diverted gas over and above 72 consecutive hours of full curtailment or the volumetric equivalent thereof during a five day period.  For subsequent qualifying interruptions during this period, the SIC shall apply to all of the customer’s curtailed or diverted volumes resulting from the subsequent interruptions regardless of the duration or extend of the customer’s initial interruption.  </w:t>
      </w:r>
    </w:p>
    <w:p>
      <w:pPr>
        <w:pStyle w:val="BodyText"/>
        <w:rPr/>
      </w:pPr>
      <w:r>
        <w:rPr/>
        <w:t>The maximum aggregate SIC obligation of the Utility in any calendar year shall be $5 million.</w:t>
      </w:r>
      <w:r>
        <w:rPr>
          <w:rStyle w:val="FootnoteCharacters"/>
          <w:rStyle w:val="FootnoteReference"/>
        </w:rPr>
        <w:footnoteReference w:id="26"/>
      </w:r>
      <w:r>
        <w:rPr/>
        <w:t xml:space="preserve">  To the extent such maximum aggregate obligation would be exceeded, the Utility shall provide the SIC on a pro rata basis to all applicable customers for the calendar year. Under an involuntarily diversion of gas, the utility will pay the customer the higher of</w:t>
      </w:r>
    </w:p>
    <w:p>
      <w:pPr>
        <w:pStyle w:val="BodyText"/>
        <w:spacing w:lineRule="auto" w:line="240"/>
        <w:ind w:hanging="720" w:start="2160" w:end="0"/>
        <w:rPr/>
      </w:pPr>
      <w:r>
        <w:rPr/>
        <w:t xml:space="preserve">1) </w:t>
        <w:tab/>
        <w:t>The cost of alternative fuel or replacement energy used by the customer during the diversion, plus associated transportation costs actually incurred by the customer; or</w:t>
      </w:r>
    </w:p>
    <w:p>
      <w:pPr>
        <w:pStyle w:val="BodyText"/>
        <w:spacing w:lineRule="auto" w:line="240"/>
        <w:rPr/>
      </w:pPr>
      <w:r>
        <w:rPr/>
        <w:t xml:space="preserve">2) </w:t>
        <w:tab/>
        <w:t>150% of the utility’s WACOG for the month the curtailment occurred; or</w:t>
      </w:r>
    </w:p>
    <w:p>
      <w:pPr>
        <w:pStyle w:val="BodyText"/>
        <w:spacing w:lineRule="auto" w:line="240"/>
        <w:rPr/>
      </w:pPr>
      <w:r>
        <w:rPr/>
        <w:t xml:space="preserve">3) </w:t>
        <w:tab/>
        <w:t>The customer’s actual cost of gas.</w:t>
      </w:r>
    </w:p>
    <w:p>
      <w:pPr>
        <w:pStyle w:val="BodyText"/>
        <w:rPr/>
      </w:pPr>
      <w:r>
        <w:rPr/>
      </w:r>
    </w:p>
    <w:p>
      <w:pPr>
        <w:pStyle w:val="BodyText"/>
        <w:jc w:val="center"/>
        <w:rPr>
          <w:u w:val="single"/>
        </w:rPr>
      </w:pPr>
      <w:r>
        <w:rPr>
          <w:u w:val="single"/>
        </w:rPr>
      </w:r>
    </w:p>
    <w:p>
      <w:pPr>
        <w:pStyle w:val="BodyText"/>
        <w:numPr>
          <w:ilvl w:val="0"/>
          <w:numId w:val="0"/>
        </w:numPr>
        <w:ind w:firstLine="1440" w:start="0"/>
        <w:jc w:val="center"/>
        <w:outlineLvl w:val="0"/>
        <w:rPr>
          <w:b/>
          <w:u w:val="single"/>
        </w:rPr>
      </w:pPr>
      <w:r>
        <w:rPr>
          <w:b/>
          <w:u w:val="single"/>
        </w:rPr>
        <w:t>SDGE Curtailment and Diversion Procedures</w:t>
      </w:r>
    </w:p>
    <w:p>
      <w:pPr>
        <w:pStyle w:val="BodyText"/>
        <w:rPr/>
      </w:pPr>
      <w:r>
        <w:rPr/>
        <w:t xml:space="preserve">SDGE lays out its curtailment procedures in Rule 14 of its tariff Noncore customers, who fail to curtail when ordered by the utility, will be subject to a significant curtailment penalties for each therm consumed during the curtailment period, in addition to the charges under the customer’s applicable rate schedule.  </w:t>
      </w:r>
    </w:p>
    <w:p>
      <w:pPr>
        <w:pStyle w:val="BodyText"/>
        <w:rPr/>
      </w:pPr>
      <w:r>
        <w:rPr/>
        <w:t>In the event that there is insufficient supply or capacity to serve P-1 and P-2A customers, the utility may divert customer-owned gas from noncore customers. Under a voluntary diversion of gas, compensation will not exceed the price paid for the involuntarily diverted gas supplies. Under an involuntarily diversion of gas, the utility will pay the customer for volumes involuntarily diverted the higher of</w:t>
      </w:r>
    </w:p>
    <w:p>
      <w:pPr>
        <w:pStyle w:val="BodyText"/>
        <w:spacing w:lineRule="auto" w:line="240"/>
        <w:ind w:hanging="720" w:start="2160" w:end="0"/>
        <w:rPr/>
      </w:pPr>
      <w:r>
        <w:rPr/>
        <w:t xml:space="preserve">1) </w:t>
        <w:tab/>
        <w:t>The cost of alternative fuel or replacement energy used by the customer during the diversion, plus associated transportation costs actually incurred by the customer; or</w:t>
      </w:r>
    </w:p>
    <w:p>
      <w:pPr>
        <w:pStyle w:val="BodyText"/>
        <w:spacing w:lineRule="auto" w:line="240"/>
        <w:rPr/>
      </w:pPr>
      <w:r>
        <w:rPr/>
        <w:t xml:space="preserve">2) </w:t>
        <w:tab/>
        <w:t>150% of the utility’s WACOG for the month the curtailment occurred; or</w:t>
      </w:r>
    </w:p>
    <w:p>
      <w:pPr>
        <w:pStyle w:val="BodyText"/>
        <w:spacing w:lineRule="auto" w:line="240"/>
        <w:rPr/>
      </w:pPr>
      <w:r>
        <w:rPr/>
        <w:t xml:space="preserve">3) </w:t>
        <w:tab/>
        <w:t>The customer’s actual cost of gas.</w:t>
      </w:r>
    </w:p>
    <w:p>
      <w:pPr>
        <w:pStyle w:val="BodyText"/>
        <w:rPr/>
      </w:pPr>
      <w:r>
        <w:rPr/>
      </w:r>
    </w:p>
    <w:p>
      <w:pPr>
        <w:pStyle w:val="BodyText"/>
        <w:jc w:val="center"/>
        <w:rPr>
          <w:u w:val="single"/>
        </w:rPr>
      </w:pPr>
      <w:r>
        <w:rPr>
          <w:u w:val="single"/>
        </w:rPr>
      </w:r>
    </w:p>
    <w:p>
      <w:pPr>
        <w:pStyle w:val="BodyText"/>
        <w:numPr>
          <w:ilvl w:val="0"/>
          <w:numId w:val="0"/>
        </w:numPr>
        <w:ind w:firstLine="1440" w:start="0"/>
        <w:jc w:val="center"/>
        <w:outlineLvl w:val="0"/>
        <w:rPr>
          <w:u w:val="single"/>
        </w:rPr>
      </w:pPr>
      <w:r>
        <w:rPr>
          <w:u w:val="single"/>
        </w:rPr>
        <w:t>Curtailment</w:t>
      </w:r>
    </w:p>
    <w:p>
      <w:pPr>
        <w:pStyle w:val="BodyText"/>
        <w:numPr>
          <w:ilvl w:val="0"/>
          <w:numId w:val="0"/>
        </w:numPr>
        <w:ind w:firstLine="1440" w:start="0"/>
        <w:outlineLvl w:val="0"/>
        <w:rPr/>
      </w:pPr>
      <w:r>
        <w:rPr/>
        <w:t>SDGE will curtail gas in the following sequence:</w:t>
      </w:r>
      <w:r>
        <w:rPr>
          <w:rStyle w:val="FootnoteCharacters"/>
          <w:rStyle w:val="FootnoteReference"/>
        </w:rPr>
        <w:footnoteReference w:id="27"/>
      </w:r>
    </w:p>
    <w:p>
      <w:pPr>
        <w:pStyle w:val="BodyText"/>
        <w:spacing w:lineRule="auto" w:line="240"/>
        <w:ind w:hanging="720" w:start="2160" w:end="0"/>
        <w:rPr/>
      </w:pPr>
      <w:r>
        <w:rPr/>
        <w:t>1)</w:t>
        <w:tab/>
      </w:r>
      <w:r>
        <w:rPr>
          <w:u w:val="single"/>
        </w:rPr>
        <w:t>Interruptible Noncore Service</w:t>
      </w:r>
      <w:r>
        <w:rPr/>
        <w:t xml:space="preserve"> (Interruptible Intrastate Transportation Service/Minimum One-month contract/Optional Utility Gas Purchases/ No Use or Pay Obligations or Penalties)</w:t>
      </w:r>
    </w:p>
    <w:p>
      <w:pPr>
        <w:pStyle w:val="BodyText"/>
        <w:spacing w:lineRule="auto" w:line="240"/>
        <w:ind w:hanging="720" w:start="2160" w:end="0"/>
        <w:rPr/>
      </w:pPr>
      <w:r>
        <w:rPr/>
      </w:r>
    </w:p>
    <w:p>
      <w:pPr>
        <w:pStyle w:val="BodyText"/>
        <w:spacing w:lineRule="auto" w:line="240"/>
        <w:ind w:hanging="720" w:start="2160" w:end="0"/>
        <w:rPr/>
      </w:pPr>
      <w:r>
        <w:rPr/>
        <w:t>2)</w:t>
        <w:tab/>
      </w:r>
      <w:r>
        <w:rPr>
          <w:u w:val="single"/>
        </w:rPr>
        <w:t>Firm Noncore Service</w:t>
      </w:r>
      <w:r>
        <w:rPr/>
        <w:t xml:space="preserve"> (Firm Intrastate Transportation Service/Two-year contract term/Optional Utility Gas Purchases/ Use-or pay-Obligations &amp; Penalties)</w:t>
      </w:r>
    </w:p>
    <w:p>
      <w:pPr>
        <w:pStyle w:val="BodyText"/>
        <w:spacing w:lineRule="auto" w:line="240"/>
        <w:ind w:hanging="720" w:start="2160" w:end="0"/>
        <w:rPr/>
      </w:pPr>
      <w:r>
        <w:rPr/>
      </w:r>
    </w:p>
    <w:p>
      <w:pPr>
        <w:pStyle w:val="BodyText"/>
        <w:spacing w:lineRule="auto" w:line="240"/>
        <w:ind w:hanging="720" w:start="2160" w:end="0"/>
        <w:rPr/>
      </w:pPr>
      <w:r>
        <w:rPr/>
        <w:t>3)</w:t>
        <w:tab/>
      </w:r>
      <w:r>
        <w:rPr>
          <w:u w:val="single"/>
        </w:rPr>
        <w:t>Core Subscription Service</w:t>
      </w:r>
      <w:r>
        <w:rPr/>
        <w:t xml:space="preserve"> (Firm Inter &amp; Intrastate Transportation Service/ Gas purchased from the utility (minimum one-year term)/ Two-year transport Contract term.</w:t>
      </w:r>
    </w:p>
    <w:p>
      <w:pPr>
        <w:pStyle w:val="BodyText"/>
        <w:spacing w:lineRule="auto" w:line="240"/>
        <w:ind w:hanging="720" w:start="2160" w:end="0"/>
        <w:rPr/>
      </w:pPr>
      <w:r>
        <w:rPr/>
      </w:r>
    </w:p>
    <w:p>
      <w:pPr>
        <w:pStyle w:val="BodyText"/>
        <w:spacing w:lineRule="auto" w:line="240"/>
        <w:ind w:hanging="720" w:start="2160" w:end="0"/>
        <w:rPr/>
      </w:pPr>
      <w:r>
        <w:rPr/>
        <w:t>4)</w:t>
        <w:tab/>
      </w:r>
      <w:r>
        <w:rPr>
          <w:u w:val="single"/>
        </w:rPr>
        <w:t>Core Service</w:t>
      </w:r>
      <w:r>
        <w:rPr/>
        <w:t xml:space="preserve"> (Firm Inter &amp; Intrastate Transportation Service/ Gas Purchased from Utility/Optional Intrastate Transportation-Only Service/Curtailment based on end-use priorities/ Includes all P-1 and P-2 end-use priorities) P-1 is all residential users regardless of size.</w:t>
      </w:r>
      <w:r>
        <w:rPr>
          <w:rStyle w:val="FootnoteCharacters"/>
          <w:rStyle w:val="FootnoteReference"/>
        </w:rPr>
        <w:footnoteReference w:id="28"/>
      </w:r>
      <w:r>
        <w:rPr/>
        <w:t xml:space="preserve">  And all non-residential use through a single meter that is equal to or less than 20,800 therms.  P-2A is all non-residential use through a single meter that is greater than an annual monthly average of 20,800 therms, where the customer has made a minimum two-year election to receive core reliability service.</w:t>
      </w:r>
    </w:p>
    <w:p>
      <w:pPr>
        <w:pStyle w:val="BodyText"/>
        <w:spacing w:lineRule="auto" w:line="240"/>
        <w:ind w:hanging="720" w:start="2160" w:end="0"/>
        <w:rPr/>
      </w:pPr>
      <w:r>
        <w:rPr/>
      </w:r>
    </w:p>
    <w:p>
      <w:pPr>
        <w:pStyle w:val="BodyText"/>
        <w:rPr/>
      </w:pPr>
      <w:r>
        <w:rPr/>
        <w:t>SDGE’s penalties are as follows.</w:t>
      </w:r>
      <w:r>
        <w:rPr>
          <w:rStyle w:val="FootnoteCharacters"/>
          <w:rStyle w:val="FootnoteReference"/>
        </w:rPr>
        <w:footnoteReference w:id="29"/>
      </w:r>
      <w:r>
        <w:rPr/>
        <w:t xml:space="preserve">  Noncore customers, who fail to curtail when ordered by the utility, will be subject to a curtailment penalty for each therm consumed including pilot light gas, during the curtailment period, in addition to the charges under the customer’s applicable rate schedule.  The curtailment penalty shall consists of the following charges:</w:t>
      </w:r>
    </w:p>
    <w:p>
      <w:pPr>
        <w:pStyle w:val="BodyText"/>
        <w:spacing w:lineRule="auto" w:line="240"/>
        <w:ind w:hanging="0" w:start="2160" w:end="0"/>
        <w:rPr/>
      </w:pPr>
      <w:r>
        <w:rPr/>
      </w:r>
    </w:p>
    <w:p>
      <w:pPr>
        <w:pStyle w:val="BodyText"/>
        <w:spacing w:lineRule="auto" w:line="240"/>
        <w:ind w:hanging="0" w:start="2160" w:end="0"/>
        <w:rPr/>
      </w:pPr>
      <w:r>
        <w:rPr/>
        <w:t>1.</w:t>
        <w:tab/>
        <w:t>$1 per therm for the first five hours,</w:t>
      </w:r>
    </w:p>
    <w:p>
      <w:pPr>
        <w:pStyle w:val="BodyText"/>
        <w:spacing w:lineRule="auto" w:line="240"/>
        <w:ind w:hanging="0" w:start="2160" w:end="0"/>
        <w:rPr/>
      </w:pPr>
      <w:r>
        <w:rPr/>
        <w:t>2.</w:t>
        <w:tab/>
        <w:t>$3 per therm of the next three hours,</w:t>
      </w:r>
    </w:p>
    <w:p>
      <w:pPr>
        <w:pStyle w:val="BodyText"/>
        <w:spacing w:lineRule="auto" w:line="240"/>
        <w:ind w:hanging="720" w:start="2160" w:end="0"/>
        <w:rPr/>
      </w:pPr>
      <w:r>
        <w:rPr/>
        <w:tab/>
        <w:t>3.</w:t>
        <w:tab/>
        <w:t>$10 per therm for the remaining curtailment period.</w:t>
      </w:r>
    </w:p>
    <w:p>
      <w:pPr>
        <w:pStyle w:val="BodyText"/>
        <w:spacing w:lineRule="auto" w:line="240"/>
        <w:ind w:hanging="720" w:start="2160" w:end="0"/>
        <w:rPr/>
      </w:pPr>
      <w:r>
        <w:rPr/>
      </w:r>
    </w:p>
    <w:p>
      <w:pPr>
        <w:pStyle w:val="BodyText"/>
        <w:tabs>
          <w:tab w:val="clear" w:pos="720"/>
          <w:tab w:val="left" w:pos="0" w:leader="none"/>
        </w:tabs>
        <w:rPr/>
      </w:pPr>
      <w:r>
        <w:rPr/>
        <w:t>Any noncore customer failing to curtail gas use, excluding pilot light gas, after 48 hours shall be immediately reassigned to a core rate schedule for a minimum of one year.</w:t>
      </w:r>
      <w:r>
        <w:rPr>
          <w:rStyle w:val="FootnoteCharacters"/>
          <w:rStyle w:val="FootnoteReference"/>
        </w:rPr>
        <w:footnoteReference w:id="30"/>
      </w:r>
    </w:p>
    <w:p>
      <w:pPr>
        <w:pStyle w:val="BodyText"/>
        <w:spacing w:lineRule="auto" w:line="240"/>
        <w:ind w:hanging="720" w:start="2160" w:end="0"/>
        <w:rPr/>
      </w:pPr>
      <w:r>
        <w:rPr/>
      </w:r>
    </w:p>
    <w:p>
      <w:pPr>
        <w:pStyle w:val="BodyText"/>
        <w:numPr>
          <w:ilvl w:val="0"/>
          <w:numId w:val="0"/>
        </w:numPr>
        <w:ind w:firstLine="1440" w:start="0"/>
        <w:jc w:val="center"/>
        <w:outlineLvl w:val="0"/>
        <w:rPr>
          <w:u w:val="single"/>
        </w:rPr>
      </w:pPr>
      <w:r>
        <w:rPr>
          <w:u w:val="single"/>
        </w:rPr>
        <w:t>Diversion</w:t>
      </w:r>
    </w:p>
    <w:p>
      <w:pPr>
        <w:pStyle w:val="BodyText"/>
        <w:rPr/>
      </w:pPr>
      <w:r>
        <w:rPr/>
        <w:t xml:space="preserve">In the event that there is insufficient supply or capacity to serve P-1 and P-2A customers, the utility may divert customer-owned gas from noncore customers.  The diversion of customer-owned gas to serve core customers may either be voluntary or involuntary.  Voluntary diversions of gas shall be performed before any involuntary diversions to protect core customers.  The utility shall notify the Commission within one business day following the initiation of any involuntary diversion.  </w:t>
      </w:r>
    </w:p>
    <w:p>
      <w:pPr>
        <w:pStyle w:val="BodyText"/>
        <w:numPr>
          <w:ilvl w:val="0"/>
          <w:numId w:val="0"/>
        </w:numPr>
        <w:ind w:firstLine="1440" w:start="0"/>
        <w:jc w:val="center"/>
        <w:outlineLvl w:val="0"/>
        <w:rPr>
          <w:u w:val="single"/>
        </w:rPr>
      </w:pPr>
      <w:r>
        <w:rPr>
          <w:u w:val="single"/>
        </w:rPr>
        <w:t>Compensation</w:t>
      </w:r>
    </w:p>
    <w:p>
      <w:pPr>
        <w:pStyle w:val="BodyText"/>
        <w:rPr/>
      </w:pPr>
      <w:r>
        <w:rPr/>
        <w:t>SDGE compensates as follows for voluntarily diverted gas.  SDGE may offer to purchase the flowing supplies of noncore shippers to maintain service to higher priority core and noncore customers.  The price paid by the utility for voluntarily diverted interruptible supplies shall not exceed the price paid for the involuntarily diverted gas supplies.  Gas that is made available to the utility through voluntary core protection arrangements shall be purchased on a least-cost basis with the least expensive supplies being purchased first, to the extent operationally feasible.</w:t>
      </w:r>
      <w:r>
        <w:rPr>
          <w:rStyle w:val="FootnoteCharacters"/>
          <w:rStyle w:val="FootnoteReference"/>
        </w:rPr>
        <w:footnoteReference w:id="31"/>
      </w:r>
      <w:r>
        <w:rPr/>
        <w:t xml:space="preserve">  The price paid by the utility for voluntary core protection gas shall be determined through negotiation with the customer, subject to a price ceiling of 150% of the utility’s monthly weighted average cost of gas.</w:t>
      </w:r>
    </w:p>
    <w:p>
      <w:pPr>
        <w:pStyle w:val="BodyText"/>
        <w:rPr/>
      </w:pPr>
      <w:r>
        <w:rPr/>
        <w:t>SDGE compensation for customer-owned gas is as follows; For an involuntarily diversion of gas, the utility may divert either interruptible or firm customer-owned gas to serve core customers.  The utility will pay the customer for volumes involuntarily diverted the higher of:</w:t>
      </w:r>
      <w:r>
        <w:rPr>
          <w:rStyle w:val="FootnoteCharacters"/>
          <w:rStyle w:val="FootnoteReference"/>
        </w:rPr>
        <w:footnoteReference w:id="32"/>
      </w:r>
    </w:p>
    <w:p>
      <w:pPr>
        <w:pStyle w:val="BodyText"/>
        <w:spacing w:lineRule="auto" w:line="240"/>
        <w:ind w:hanging="720" w:start="2160" w:end="0"/>
        <w:rPr/>
      </w:pPr>
      <w:r>
        <w:rPr/>
        <w:t xml:space="preserve">1) </w:t>
        <w:tab/>
        <w:t>The cost of alternative fuel or replacement energy used by the customer during the diversion, plus associated transportation costs actually incurred by the customer; or</w:t>
      </w:r>
    </w:p>
    <w:p>
      <w:pPr>
        <w:pStyle w:val="BodyText"/>
        <w:spacing w:lineRule="auto" w:line="240"/>
        <w:rPr/>
      </w:pPr>
      <w:r>
        <w:rPr/>
        <w:t xml:space="preserve">2) </w:t>
        <w:tab/>
        <w:t>150% of the utility’s WACOG for the month the curtailment occurred; or</w:t>
      </w:r>
    </w:p>
    <w:p>
      <w:pPr>
        <w:pStyle w:val="BodyText"/>
        <w:spacing w:lineRule="auto" w:line="240"/>
        <w:rPr/>
      </w:pPr>
      <w:r>
        <w:rPr/>
        <w:t xml:space="preserve">3) </w:t>
        <w:tab/>
        <w:t>The customer’s actual cost of gas.</w:t>
      </w:r>
    </w:p>
    <w:p>
      <w:pPr>
        <w:pStyle w:val="BodyText"/>
        <w:rPr/>
      </w:pPr>
      <w:r>
        <w:rPr/>
      </w:r>
    </w:p>
    <w:p>
      <w:pPr>
        <w:pStyle w:val="Normal"/>
        <w:numPr>
          <w:ilvl w:val="0"/>
          <w:numId w:val="0"/>
        </w:numPr>
        <w:spacing w:lineRule="exact" w:line="200" w:before="240" w:after="0"/>
        <w:outlineLvl w:val="0"/>
        <w:rPr/>
      </w:pPr>
      <w:r>
        <w:rPr>
          <w:rStyle w:val="zzmpTrailerItem"/>
        </w:rPr>
        <w:t>C:\WINDOWS\TEMP\X18984.DOC</w:t>
      </w:r>
      <w:r>
        <w:rPr/>
        <w:t xml:space="preserve">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62" w:type="dxa"/>
      <w:jc w:val="start"/>
      <w:tblInd w:w="0" w:type="dxa"/>
      <w:tblLayout w:type="fixed"/>
      <w:tblCellMar>
        <w:top w:w="0" w:type="dxa"/>
        <w:start w:w="108" w:type="dxa"/>
        <w:bottom w:w="0" w:type="dxa"/>
        <w:end w:w="108" w:type="dxa"/>
      </w:tblCellMar>
    </w:tblPr>
    <w:tblGrid>
      <w:gridCol w:w="4522"/>
      <w:gridCol w:w="720"/>
      <w:gridCol w:w="4320"/>
    </w:tblGrid>
    <w:tr>
      <w:trPr/>
      <w:tc>
        <w:tcPr>
          <w:tcW w:w="4522" w:type="dxa"/>
          <w:tcBorders/>
        </w:tcPr>
        <w:p>
          <w:pPr>
            <w:pStyle w:val="Footer"/>
            <w:snapToGrid w:val="false"/>
            <w:rPr/>
          </w:pPr>
          <w:r>
            <w:rPr/>
          </w:r>
        </w:p>
      </w:tc>
      <w:tc>
        <w:tcPr>
          <w:tcW w:w="720"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p>
      </w:tc>
      <w:tc>
        <w:tcPr>
          <w:tcW w:w="4320"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62" w:type="dxa"/>
      <w:jc w:val="start"/>
      <w:tblInd w:w="0" w:type="dxa"/>
      <w:tblLayout w:type="fixed"/>
      <w:tblCellMar>
        <w:top w:w="0" w:type="dxa"/>
        <w:start w:w="108" w:type="dxa"/>
        <w:bottom w:w="0" w:type="dxa"/>
        <w:end w:w="108" w:type="dxa"/>
      </w:tblCellMar>
    </w:tblPr>
    <w:tblGrid>
      <w:gridCol w:w="4522"/>
      <w:gridCol w:w="720"/>
      <w:gridCol w:w="4320"/>
    </w:tblGrid>
    <w:tr>
      <w:trPr/>
      <w:tc>
        <w:tcPr>
          <w:tcW w:w="4522" w:type="dxa"/>
          <w:tcBorders/>
        </w:tcPr>
        <w:p>
          <w:pPr>
            <w:pStyle w:val="Footer"/>
            <w:snapToGrid w:val="false"/>
            <w:rPr/>
          </w:pPr>
          <w:r>
            <w:rPr/>
          </w:r>
        </w:p>
      </w:tc>
      <w:tc>
        <w:tcPr>
          <w:tcW w:w="720" w:type="dxa"/>
          <w:tcBorders/>
        </w:tcPr>
        <w:p>
          <w:pPr>
            <w:pStyle w:val="Footer"/>
            <w:snapToGrid w:val="false"/>
            <w:jc w:val="center"/>
            <w:rPr/>
          </w:pPr>
          <w:r>
            <w:rPr/>
          </w:r>
        </w:p>
      </w:tc>
      <w:tc>
        <w:tcPr>
          <w:tcW w:w="4320" w:type="dxa"/>
          <w:tcBorders/>
        </w:tcPr>
        <w:p>
          <w:pPr>
            <w:pStyle w:val="Footer"/>
            <w:snapToGrid w:val="false"/>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Rule 14, Section (C)(1)(a).</w:t>
      </w:r>
    </w:p>
  </w:footnote>
  <w:footnote w:id="3">
    <w:p>
      <w:pPr>
        <w:pStyle w:val="FootnoteText"/>
        <w:rPr/>
      </w:pPr>
      <w:r>
        <w:rPr>
          <w:rStyle w:val="FootnoteCharacters"/>
        </w:rPr>
        <w:footnoteRef/>
      </w:r>
      <w:r>
        <w:rPr/>
        <w:t xml:space="preserve"> </w:t>
      </w:r>
      <w:r>
        <w:rPr/>
        <w:t>Rule 14, Section (G)(3).</w:t>
      </w:r>
    </w:p>
  </w:footnote>
  <w:footnote w:id="4">
    <w:p>
      <w:pPr>
        <w:pStyle w:val="FootnoteText"/>
        <w:rPr/>
      </w:pPr>
      <w:r>
        <w:rPr>
          <w:rStyle w:val="FootnoteCharacters"/>
        </w:rPr>
        <w:footnoteRef/>
      </w:r>
      <w:r>
        <w:rPr/>
        <w:t xml:space="preserve"> </w:t>
      </w:r>
      <w:r>
        <w:rPr/>
        <w:t>Rule 14, Section (C )(2)(a).</w:t>
      </w:r>
    </w:p>
  </w:footnote>
  <w:footnote w:id="5">
    <w:p>
      <w:pPr>
        <w:pStyle w:val="FootnoteText"/>
        <w:rPr/>
      </w:pPr>
      <w:r>
        <w:rPr>
          <w:rStyle w:val="FootnoteCharacters"/>
        </w:rPr>
        <w:footnoteRef/>
      </w:r>
      <w:r>
        <w:rPr/>
        <w:t xml:space="preserve"> </w:t>
      </w:r>
      <w:r>
        <w:rPr/>
        <w:t xml:space="preserve">Rule 14, Section (D). </w:t>
      </w:r>
    </w:p>
  </w:footnote>
  <w:footnote w:id="6">
    <w:p>
      <w:pPr>
        <w:pStyle w:val="FootnoteText"/>
        <w:rPr/>
      </w:pPr>
      <w:r>
        <w:rPr>
          <w:rStyle w:val="FootnoteCharacters"/>
        </w:rPr>
        <w:footnoteRef/>
      </w:r>
      <w:r>
        <w:rPr/>
        <w:t xml:space="preserve"> </w:t>
      </w:r>
      <w:r>
        <w:rPr/>
        <w:t>Rule 14, Section (E).</w:t>
      </w:r>
    </w:p>
  </w:footnote>
  <w:footnote w:id="7">
    <w:p>
      <w:pPr>
        <w:pStyle w:val="FootnoteText"/>
        <w:rPr/>
      </w:pPr>
      <w:r>
        <w:rPr>
          <w:rStyle w:val="FootnoteCharacters"/>
        </w:rPr>
        <w:footnoteRef/>
      </w:r>
      <w:r>
        <w:rPr/>
        <w:t xml:space="preserve"> </w:t>
      </w:r>
      <w:r>
        <w:rPr/>
        <w:t>Rule 14, Section (E).</w:t>
      </w:r>
    </w:p>
  </w:footnote>
  <w:footnote w:id="8">
    <w:p>
      <w:pPr>
        <w:pStyle w:val="FootnoteText"/>
        <w:rPr/>
      </w:pPr>
      <w:r>
        <w:rPr>
          <w:rStyle w:val="FootnoteCharacters"/>
        </w:rPr>
        <w:footnoteRef/>
      </w:r>
      <w:r>
        <w:rPr/>
        <w:t xml:space="preserve"> </w:t>
      </w:r>
      <w:r>
        <w:rPr/>
        <w:t>Rule 14, Section (E).</w:t>
      </w:r>
    </w:p>
  </w:footnote>
  <w:footnote w:id="9">
    <w:p>
      <w:pPr>
        <w:pStyle w:val="FootnoteText"/>
        <w:rPr/>
      </w:pPr>
      <w:r>
        <w:rPr>
          <w:rStyle w:val="FootnoteCharacters"/>
        </w:rPr>
        <w:footnoteRef/>
      </w:r>
      <w:r>
        <w:rPr/>
        <w:t xml:space="preserve"> </w:t>
      </w:r>
      <w:r>
        <w:rPr/>
        <w:t>Rule 14, Section (E).</w:t>
      </w:r>
    </w:p>
  </w:footnote>
  <w:footnote w:id="10">
    <w:p>
      <w:pPr>
        <w:pStyle w:val="FootnoteText"/>
        <w:rPr/>
      </w:pPr>
      <w:r>
        <w:rPr>
          <w:rStyle w:val="FootnoteCharacters"/>
        </w:rPr>
        <w:footnoteRef/>
      </w:r>
      <w:r>
        <w:rPr/>
        <w:t xml:space="preserve"> </w:t>
      </w:r>
      <w:r>
        <w:rPr/>
        <w:t>Rule 14, Section (E).</w:t>
      </w:r>
    </w:p>
    <w:p>
      <w:pPr>
        <w:pStyle w:val="FootnoteText"/>
        <w:rPr/>
      </w:pPr>
      <w:r>
        <w:rPr/>
      </w:r>
    </w:p>
  </w:footnote>
  <w:footnote w:id="11">
    <w:p>
      <w:pPr>
        <w:pStyle w:val="FootnoteText"/>
        <w:rPr/>
      </w:pPr>
      <w:r>
        <w:rPr>
          <w:rStyle w:val="FootnoteCharacters"/>
        </w:rPr>
        <w:footnoteRef/>
      </w:r>
      <w:r>
        <w:rPr/>
        <w:t xml:space="preserve"> </w:t>
      </w:r>
      <w:r>
        <w:rPr/>
        <w:t>Rule 14, Section (E).</w:t>
      </w:r>
    </w:p>
  </w:footnote>
  <w:footnote w:id="12">
    <w:p>
      <w:pPr>
        <w:pStyle w:val="FootnoteText"/>
        <w:rPr/>
      </w:pPr>
      <w:r>
        <w:rPr>
          <w:rStyle w:val="FootnoteCharacters"/>
        </w:rPr>
        <w:footnoteRef/>
      </w:r>
      <w:r>
        <w:rPr/>
        <w:t xml:space="preserve"> </w:t>
      </w:r>
      <w:r>
        <w:rPr/>
        <w:t>Rule 14, Section (E).</w:t>
      </w:r>
    </w:p>
  </w:footnote>
  <w:footnote w:id="13">
    <w:p>
      <w:pPr>
        <w:pStyle w:val="FootnoteText"/>
        <w:rPr/>
      </w:pPr>
      <w:r>
        <w:rPr>
          <w:rStyle w:val="FootnoteCharacters"/>
        </w:rPr>
        <w:footnoteRef/>
      </w:r>
      <w:r>
        <w:rPr/>
        <w:t xml:space="preserve"> </w:t>
      </w:r>
      <w:r>
        <w:rPr/>
        <w:t>Rule 14, Section (F).</w:t>
      </w:r>
    </w:p>
  </w:footnote>
  <w:footnote w:id="14">
    <w:p>
      <w:pPr>
        <w:pStyle w:val="FootnoteText"/>
        <w:rPr/>
      </w:pPr>
      <w:r>
        <w:rPr>
          <w:rStyle w:val="FootnoteCharacters"/>
        </w:rPr>
        <w:footnoteRef/>
      </w:r>
      <w:r>
        <w:rPr/>
        <w:t xml:space="preserve"> </w:t>
      </w:r>
      <w:r>
        <w:rPr/>
        <w:t>Rule 14, Section (F).</w:t>
      </w:r>
    </w:p>
  </w:footnote>
  <w:footnote w:id="15">
    <w:p>
      <w:pPr>
        <w:pStyle w:val="FootnoteText"/>
        <w:rPr/>
      </w:pPr>
      <w:r>
        <w:rPr>
          <w:rStyle w:val="FootnoteCharacters"/>
        </w:rPr>
        <w:footnoteRef/>
      </w:r>
      <w:r>
        <w:rPr/>
        <w:t xml:space="preserve"> </w:t>
      </w:r>
      <w:r>
        <w:rPr/>
        <w:t>Rule 14, Section (F).</w:t>
      </w:r>
    </w:p>
  </w:footnote>
  <w:footnote w:id="16">
    <w:p>
      <w:pPr>
        <w:pStyle w:val="FootnoteText"/>
        <w:rPr/>
      </w:pPr>
      <w:r>
        <w:rPr>
          <w:rStyle w:val="FootnoteCharacters"/>
        </w:rPr>
        <w:footnoteRef/>
      </w:r>
      <w:r>
        <w:rPr/>
        <w:t xml:space="preserve"> </w:t>
      </w:r>
      <w:r>
        <w:rPr/>
        <w:t>Rule 14, Section (G).</w:t>
      </w:r>
    </w:p>
  </w:footnote>
  <w:footnote w:id="17">
    <w:p>
      <w:pPr>
        <w:pStyle w:val="FootnoteText"/>
        <w:rPr/>
      </w:pPr>
      <w:r>
        <w:rPr>
          <w:rStyle w:val="FootnoteCharacters"/>
        </w:rPr>
        <w:footnoteRef/>
      </w:r>
      <w:r>
        <w:rPr/>
        <w:t xml:space="preserve"> </w:t>
      </w:r>
      <w:r>
        <w:rPr/>
        <w:t>Rule 14, Section (G).</w:t>
      </w:r>
    </w:p>
  </w:footnote>
  <w:footnote w:id="18">
    <w:p>
      <w:pPr>
        <w:pStyle w:val="FootnoteText"/>
        <w:rPr/>
      </w:pPr>
      <w:r>
        <w:rPr>
          <w:rStyle w:val="FootnoteCharacters"/>
        </w:rPr>
        <w:footnoteRef/>
      </w:r>
      <w:r>
        <w:rPr/>
        <w:t xml:space="preserve"> </w:t>
      </w:r>
      <w:r>
        <w:rPr/>
        <w:t>Rule 14, Section (G)(3).</w:t>
      </w:r>
    </w:p>
  </w:footnote>
  <w:footnote w:id="19">
    <w:p>
      <w:pPr>
        <w:pStyle w:val="FootnoteText"/>
        <w:rPr/>
      </w:pPr>
      <w:r>
        <w:rPr>
          <w:rStyle w:val="FootnoteCharacters"/>
        </w:rPr>
        <w:footnoteRef/>
      </w:r>
      <w:r>
        <w:rPr/>
        <w:t xml:space="preserve"> </w:t>
      </w:r>
      <w:r>
        <w:rPr/>
        <w:t>Rule 23, Section (C ).</w:t>
      </w:r>
    </w:p>
  </w:footnote>
  <w:footnote w:id="20">
    <w:p>
      <w:pPr>
        <w:pStyle w:val="FootnoteText"/>
        <w:rPr/>
      </w:pPr>
      <w:r>
        <w:rPr>
          <w:rStyle w:val="FootnoteCharacters"/>
        </w:rPr>
        <w:footnoteRef/>
      </w:r>
      <w:r>
        <w:rPr/>
        <w:t xml:space="preserve"> </w:t>
      </w:r>
      <w:r>
        <w:rPr/>
        <w:t>Rule 1, (A critical customer is one where danger to human life, health or safety is involved, and included customers such as hospitals, other state-licensed health care facilities, medical research facilities, medical facilities at military installations and detention facilities, municipal water pumping plants and sanitation facilities.)</w:t>
      </w:r>
    </w:p>
  </w:footnote>
  <w:footnote w:id="21">
    <w:p>
      <w:pPr>
        <w:pStyle w:val="FootnoteText"/>
        <w:rPr/>
      </w:pPr>
      <w:r>
        <w:rPr>
          <w:rStyle w:val="FootnoteCharacters"/>
        </w:rPr>
        <w:footnoteRef/>
      </w:r>
      <w:r>
        <w:rPr/>
        <w:t xml:space="preserve"> </w:t>
      </w:r>
      <w:r>
        <w:rPr/>
        <w:t>Rule 23, Section C )(6).</w:t>
      </w:r>
    </w:p>
  </w:footnote>
  <w:footnote w:id="22">
    <w:p>
      <w:pPr>
        <w:pStyle w:val="FootnoteText"/>
        <w:rPr/>
      </w:pPr>
      <w:r>
        <w:rPr>
          <w:rStyle w:val="FootnoteCharacters"/>
        </w:rPr>
        <w:footnoteRef/>
      </w:r>
      <w:r>
        <w:rPr/>
        <w:t xml:space="preserve"> </w:t>
      </w:r>
      <w:r>
        <w:rPr/>
        <w:t>Rule 23, Section (D).</w:t>
      </w:r>
    </w:p>
  </w:footnote>
  <w:footnote w:id="23">
    <w:p>
      <w:pPr>
        <w:pStyle w:val="FootnoteText"/>
        <w:rPr/>
      </w:pPr>
      <w:r>
        <w:rPr>
          <w:rStyle w:val="FootnoteCharacters"/>
        </w:rPr>
        <w:footnoteRef/>
      </w:r>
      <w:r>
        <w:rPr/>
        <w:t xml:space="preserve"> </w:t>
      </w:r>
      <w:r>
        <w:rPr/>
        <w:t>Rule 23, Section (K).</w:t>
      </w:r>
    </w:p>
  </w:footnote>
  <w:footnote w:id="24">
    <w:p>
      <w:pPr>
        <w:pStyle w:val="FootnoteText"/>
        <w:rPr/>
      </w:pPr>
      <w:r>
        <w:rPr>
          <w:rStyle w:val="FootnoteCharacters"/>
        </w:rPr>
        <w:footnoteRef/>
      </w:r>
      <w:r>
        <w:rPr/>
        <w:t xml:space="preserve"> </w:t>
      </w:r>
      <w:r>
        <w:rPr/>
        <w:t>Rule 23, Section (C )(4)</w:t>
      </w:r>
    </w:p>
  </w:footnote>
  <w:footnote w:id="25">
    <w:p>
      <w:pPr>
        <w:pStyle w:val="FootnoteText"/>
        <w:rPr/>
      </w:pPr>
      <w:r>
        <w:rPr>
          <w:rStyle w:val="FootnoteCharacters"/>
        </w:rPr>
        <w:footnoteRef/>
      </w:r>
      <w:r>
        <w:rPr/>
        <w:t xml:space="preserve"> </w:t>
      </w:r>
      <w:r>
        <w:rPr/>
        <w:t>Rule 23, Section (K).</w:t>
      </w:r>
    </w:p>
  </w:footnote>
  <w:footnote w:id="26">
    <w:p>
      <w:pPr>
        <w:pStyle w:val="FootnoteText"/>
        <w:rPr/>
      </w:pPr>
      <w:r>
        <w:rPr>
          <w:rStyle w:val="FootnoteCharacters"/>
        </w:rPr>
        <w:footnoteRef/>
      </w:r>
      <w:r>
        <w:rPr/>
        <w:t xml:space="preserve"> </w:t>
      </w:r>
      <w:r>
        <w:rPr/>
        <w:t>Rule 23, Section (L).</w:t>
      </w:r>
    </w:p>
  </w:footnote>
  <w:footnote w:id="27">
    <w:p>
      <w:pPr>
        <w:pStyle w:val="FootnoteText"/>
        <w:rPr/>
      </w:pPr>
      <w:r>
        <w:rPr>
          <w:rStyle w:val="FootnoteCharacters"/>
        </w:rPr>
        <w:footnoteRef/>
      </w:r>
      <w:r>
        <w:rPr/>
        <w:t xml:space="preserve"> </w:t>
      </w:r>
      <w:r>
        <w:rPr/>
        <w:t>Rule 14, Section (I).</w:t>
      </w:r>
    </w:p>
  </w:footnote>
  <w:footnote w:id="28">
    <w:p>
      <w:pPr>
        <w:pStyle w:val="FootnoteText"/>
        <w:rPr/>
      </w:pPr>
      <w:r>
        <w:rPr>
          <w:rStyle w:val="FootnoteCharacters"/>
        </w:rPr>
        <w:footnoteRef/>
      </w:r>
      <w:r>
        <w:rPr/>
        <w:t xml:space="preserve"> </w:t>
      </w:r>
      <w:r>
        <w:rPr/>
        <w:t>Rule 14, Section (J).</w:t>
      </w:r>
    </w:p>
  </w:footnote>
  <w:footnote w:id="29">
    <w:p>
      <w:pPr>
        <w:pStyle w:val="FootnoteText"/>
        <w:rPr/>
      </w:pPr>
      <w:r>
        <w:rPr>
          <w:rStyle w:val="FootnoteCharacters"/>
        </w:rPr>
        <w:footnoteRef/>
      </w:r>
      <w:r>
        <w:rPr/>
        <w:t xml:space="preserve"> </w:t>
      </w:r>
      <w:r>
        <w:rPr/>
        <w:t>Rule 14, Section (N)(4).</w:t>
      </w:r>
    </w:p>
  </w:footnote>
  <w:footnote w:id="30">
    <w:p>
      <w:pPr>
        <w:pStyle w:val="FootnoteText"/>
        <w:rPr/>
      </w:pPr>
      <w:r>
        <w:rPr>
          <w:rStyle w:val="FootnoteCharacters"/>
        </w:rPr>
        <w:footnoteRef/>
      </w:r>
      <w:r>
        <w:rPr/>
        <w:t xml:space="preserve"> </w:t>
      </w:r>
      <w:r>
        <w:rPr/>
        <w:t>Rule 14, Section (N)(4).</w:t>
      </w:r>
    </w:p>
  </w:footnote>
  <w:footnote w:id="31">
    <w:p>
      <w:pPr>
        <w:pStyle w:val="FootnoteText"/>
        <w:rPr/>
      </w:pPr>
      <w:r>
        <w:rPr>
          <w:rStyle w:val="FootnoteCharacters"/>
        </w:rPr>
        <w:footnoteRef/>
      </w:r>
      <w:r>
        <w:rPr/>
        <w:t xml:space="preserve"> </w:t>
      </w:r>
      <w:r>
        <w:rPr/>
        <w:t>Rule 14, Section (N)(6).</w:t>
      </w:r>
    </w:p>
  </w:footnote>
  <w:footnote w:id="32">
    <w:p>
      <w:pPr>
        <w:pStyle w:val="FootnoteText"/>
        <w:rPr/>
      </w:pPr>
      <w:r>
        <w:rPr>
          <w:rStyle w:val="FootnoteCharacters"/>
        </w:rPr>
        <w:footnoteRef/>
      </w:r>
      <w:r>
        <w:rPr/>
        <w:t xml:space="preserve"> </w:t>
      </w:r>
      <w:r>
        <w:rPr/>
        <w:t>Rule 14, Section (N)(6)(b).</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spacing w:before="120" w:after="240"/>
      <w:ind w:start="115" w:end="115"/>
      <w:jc w:val="center"/>
      <w:rPr/>
    </w:pPr>
    <w:r>
      <w:rPr>
        <w:smallCaps/>
        <w:sz w:val="32"/>
      </w:rPr>
      <w:t>Goodin, MacBride,</w:t>
      <w:br/>
      <w:t xml:space="preserve">Squeri, Ritchie </w:t>
    </w:r>
    <w:r>
      <w:rPr>
        <w:smallCaps/>
        <w:sz w:val="26"/>
      </w:rPr>
      <w:t>&amp;</w:t>
    </w:r>
    <w:r>
      <w:rPr>
        <w:smallCaps/>
        <w:sz w:val="32"/>
      </w:rPr>
      <w:t xml:space="preserve"> Day, llp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hkCALTEL" w:val="False"/>
    <w:docVar w:name="chkIncludeDPhrase" w:val="False"/>
    <w:docVar w:name="chkOptIncludeFirmName" w:val="True"/>
    <w:docVar w:name="chkOptInsertDateAsField" w:val="True"/>
    <w:docVar w:name="cmbAuthor" w:val="2046"/>
    <w:docVar w:name="cmbAuthorLists" w:val="-100"/>
    <w:docVar w:name="cmbOptBodyTextAlignment" w:val="0"/>
    <w:docVar w:name="cmbOptFonts" w:val="Times New Roman"/>
    <w:docVar w:name="cmbOptLetterhead" w:val="Firm Name"/>
    <w:docVar w:name="cmbOptOffices" w:val="1"/>
    <w:docVar w:name="iTrailerType" w:val="1"/>
    <w:docVar w:name="lstDeliveryPhrases" w:val="Attorney Work Product"/>
    <w:docVar w:name="Restarted" w:val="True"/>
    <w:docVar w:name="tglUseFirmDefaults" w:val="False"/>
    <w:docVar w:name="txtFrom" w:val="James W. McTarnaghan&#10;Alexandra M. Ozols"/>
    <w:docVar w:name="txtOptBottomMargin" w:val="1"/>
    <w:docVar w:name="txtOptFirstLine" w:val="1"/>
    <w:docVar w:name="txtOptFSize" w:val="12"/>
    <w:docVar w:name="txtOptLeftMargin" w:val="1"/>
    <w:docVar w:name="txtOptRightMargin" w:val="1"/>
    <w:docVar w:name="txtOptTopMargin" w:val="1"/>
    <w:docVar w:name="txtRe" w:val="Gas Curtailment Procedures as Specified in the Traiffs of Southern Califrnia Gas Company, San Diego Gas &amp; ELectric Company, and Pacific Gas and Electric Company"/>
    <w:docVar w:name="txtTo" w:val="Enron"/>
    <w:docVar w:name="zzmpFixed_MacPacVersion" w:val="97"/>
    <w:docVar w:name="zzmpFixedDOC_ID" w:val="C:\WINDOWS\TEMP\X18984.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liveryPhrase">
    <w:name w:val="Delivery Phrase"/>
    <w:basedOn w:val="Normal"/>
    <w:qFormat/>
    <w:pPr>
      <w:spacing w:before="0" w:after="240"/>
    </w:pPr>
    <w:rPr>
      <w:b/>
      <w:caps/>
      <w:u w:val="single"/>
    </w:rPr>
  </w:style>
  <w:style w:type="paragraph" w:styleId="BodyTextIndent">
    <w:name w:val="Body Text Indent"/>
    <w:basedOn w:val="BodyText"/>
    <w:next w:val="BodyText"/>
    <w:pPr>
      <w:spacing w:before="0" w:after="0"/>
      <w:ind w:firstLine="144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Quote">
    <w:name w:val="Quote"/>
    <w:basedOn w:val="Normal"/>
    <w:next w:val="BodyTextContinued"/>
    <w:qFormat/>
    <w:pPr>
      <w:spacing w:before="0" w:after="240"/>
      <w:ind w:hanging="0" w:start="1440" w:end="144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BodyTextContinued">
    <w:name w:val="Body Text Continued"/>
    <w:basedOn w:val="BodyText"/>
    <w:next w:val="BodyText"/>
    <w:qFormat/>
    <w:pPr>
      <w:ind w:hanging="0" w:start="0" w:end="0"/>
    </w:pPr>
    <w:rPr/>
  </w:style>
  <w:style w:type="paragraph" w:styleId="MemoHeading">
    <w:name w:val="Memo Heading"/>
    <w:qFormat/>
    <w:pPr>
      <w:widowControl/>
      <w:bidi w:val="0"/>
      <w:spacing w:before="0" w:after="180"/>
    </w:pPr>
    <w:rPr>
      <w:rFonts w:ascii="Arial" w:hAnsi="Arial" w:eastAsia="Times New Roman" w:cs="Arial"/>
      <w:b/>
      <w:color w:val="auto"/>
      <w:sz w:val="20"/>
      <w:szCs w:val="20"/>
      <w:lang w:val="en-CA" w:eastAsia="zh-CN" w:bidi="hi-IN"/>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2000-12-08T21:06:00Z</dcterms:created>
  <dc:creator>AMO</dc:creator>
  <dc:description>Rev. March 13, 1998 10:48:50</dc:description>
  <dc:language>en-CA</dc:language>
  <cp:lastModifiedBy>AMO</cp:lastModifiedBy>
  <cp:lastPrinted>2000-12-08T12:28:00Z</cp:lastPrinted>
  <dcterms:modified xsi:type="dcterms:W3CDTF">2000-12-08T21:06:00Z</dcterms:modified>
  <cp:revision>2</cp:revision>
  <dc:subject/>
  <dc:title>Tariff memo  (X18984.DOC;1)</dc:title>
</cp:coreProperties>
</file>