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spacing w:before="0" w:after="240"/>
              <w:rPr>
                <w:sz w:val="24"/>
              </w:rPr>
            </w:pPr>
            <w:r>
              <w:rPr>
                <w:sz w:val="24"/>
              </w:rPr>
              <w:t xml:space="preserve">Application of  San Diego Gas and Electric Company in the Second Annual Transition Cost Proceeding Regarding the Transition Cost Balancing Account (TCBA) </w:t>
            </w:r>
          </w:p>
          <w:p>
            <w:pPr>
              <w:pStyle w:val="Normal"/>
              <w:rPr>
                <w:sz w:val="24"/>
              </w:rPr>
            </w:pPr>
            <w:r>
              <w:rPr>
                <w:sz w:val="24"/>
              </w:rPr>
            </w:r>
          </w:p>
        </w:tc>
        <w:tc>
          <w:tcPr>
            <w:tcW w:w="3384" w:type="dxa"/>
            <w:tcBorders/>
          </w:tcPr>
          <w:p>
            <w:pPr>
              <w:pStyle w:val="Normal"/>
              <w:tabs>
                <w:tab w:val="clear" w:pos="720"/>
                <w:tab w:val="left" w:pos="1872" w:leader="none"/>
              </w:tabs>
              <w:snapToGrid w:val="false"/>
              <w:jc w:val="center"/>
              <w:rPr>
                <w:sz w:val="24"/>
              </w:rPr>
            </w:pPr>
            <w:r>
              <w:rPr>
                <w:sz w:val="24"/>
              </w:rPr>
            </w:r>
          </w:p>
          <w:p>
            <w:pPr>
              <w:pStyle w:val="Normal"/>
              <w:tabs>
                <w:tab w:val="clear" w:pos="720"/>
                <w:tab w:val="left" w:pos="1872" w:leader="none"/>
              </w:tabs>
              <w:rPr>
                <w:sz w:val="24"/>
              </w:rPr>
            </w:pPr>
            <w:r>
              <w:rPr>
                <w:sz w:val="24"/>
              </w:rPr>
            </w:r>
          </w:p>
          <w:p>
            <w:pPr>
              <w:pStyle w:val="Normal"/>
              <w:tabs>
                <w:tab w:val="clear" w:pos="720"/>
                <w:tab w:val="left" w:pos="1872" w:leader="none"/>
              </w:tabs>
              <w:rPr>
                <w:sz w:val="24"/>
              </w:rPr>
            </w:pPr>
            <w:r>
              <w:rPr>
                <w:sz w:val="24"/>
              </w:rPr>
              <w:t>Application 99-09-011</w:t>
            </w:r>
          </w:p>
        </w:tc>
      </w:tr>
    </w:tbl>
    <w:p>
      <w:pPr>
        <w:pStyle w:val="Normal"/>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PETITION OF ENRON CORP.</w:t>
      </w:r>
    </w:p>
    <w:p>
      <w:pPr>
        <w:pStyle w:val="Normal"/>
        <w:jc w:val="center"/>
        <w:rPr>
          <w:b/>
          <w:sz w:val="24"/>
        </w:rPr>
      </w:pPr>
      <w:r>
        <w:rPr>
          <w:b/>
          <w:sz w:val="24"/>
        </w:rPr>
        <w:t>TO MODIFY DECISION 00-10-048</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sz w:val="24"/>
              </w:rPr>
            </w:pPr>
            <w:r>
              <w:rPr>
                <w:sz w:val="24"/>
              </w:rPr>
              <w:t>Date:  November __, 2000</w:t>
            </w:r>
          </w:p>
        </w:tc>
        <w:tc>
          <w:tcPr>
            <w:tcW w:w="5040" w:type="dxa"/>
            <w:tcBorders/>
            <w:vAlign w:val="bottom"/>
          </w:tcPr>
          <w:p>
            <w:pPr>
              <w:pStyle w:val="Normal"/>
              <w:rPr>
                <w:sz w:val="24"/>
              </w:rPr>
            </w:pPr>
            <w:r>
              <w:rPr>
                <w:sz w:val="24"/>
              </w:rPr>
              <w:t>GOODIN, MACBRIDE, SQUERI,</w:t>
              <w:br/>
              <w:t>RITCHIE &amp; DAY, LLP</w:t>
            </w:r>
          </w:p>
          <w:p>
            <w:pPr>
              <w:pStyle w:val="Normal"/>
              <w:rPr>
                <w:sz w:val="24"/>
              </w:rPr>
            </w:pPr>
            <w:r>
              <w:rPr>
                <w:sz w:val="24"/>
              </w:rPr>
              <w:t>Jeanne M. Bennett</w:t>
            </w:r>
          </w:p>
          <w:p>
            <w:pPr>
              <w:pStyle w:val="Normal"/>
              <w:rPr>
                <w:sz w:val="24"/>
              </w:rPr>
            </w:pPr>
            <w:r>
              <w:rPr>
                <w:sz w:val="24"/>
              </w:rPr>
              <w:t>505 Sansome Street, Suite 900</w:t>
              <w:br/>
              <w:t>San Francisco, CA  94111</w:t>
              <w:br/>
              <w:t>Telephone:</w:t>
              <w:tab/>
              <w:t>(415) 392-7900</w:t>
              <w:br/>
              <w:t>Facsimile:</w:t>
              <w:tab/>
              <w:t>(415) 398-4321</w:t>
            </w:r>
          </w:p>
          <w:p>
            <w:pPr>
              <w:pStyle w:val="Normal"/>
              <w:spacing w:before="240" w:after="0"/>
              <w:rPr>
                <w:sz w:val="24"/>
              </w:rPr>
            </w:pPr>
            <w:r>
              <w:rPr>
                <w:sz w:val="24"/>
              </w:rPr>
              <w:t>Attorneys for Enron Corp.</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720"/>
        <w:jc w:val="center"/>
        <w:rPr/>
      </w:pPr>
      <w:r>
        <w:rPr/>
        <w:t>BEFORE THE PUBLIC UTILITIES COMMISSION</w:t>
        <w:br/>
        <w:t>OF THE STATE OF CALIFORNIA</w:t>
      </w:r>
    </w:p>
    <w:tbl>
      <w:tblPr>
        <w:tblW w:w="20448" w:type="dxa"/>
        <w:jc w:val="start"/>
        <w:tblInd w:w="0" w:type="dxa"/>
        <w:tblLayout w:type="fixed"/>
        <w:tblCellMar>
          <w:top w:w="0" w:type="dxa"/>
          <w:start w:w="108" w:type="dxa"/>
          <w:bottom w:w="0" w:type="dxa"/>
          <w:end w:w="108" w:type="dxa"/>
        </w:tblCellMar>
      </w:tblPr>
      <w:tblGrid>
        <w:gridCol w:w="5688"/>
        <w:gridCol w:w="5688"/>
        <w:gridCol w:w="5688"/>
        <w:gridCol w:w="3384"/>
      </w:tblGrid>
      <w:tr>
        <w:trPr/>
        <w:tc>
          <w:tcPr>
            <w:tcW w:w="5688" w:type="dxa"/>
            <w:tcBorders>
              <w:bottom w:val="single" w:sz="6" w:space="0" w:color="000000"/>
              <w:end w:val="single" w:sz="6" w:space="0" w:color="000000"/>
            </w:tcBorders>
          </w:tcPr>
          <w:p>
            <w:pPr>
              <w:pStyle w:val="Normal"/>
              <w:spacing w:before="0" w:after="240"/>
              <w:rPr>
                <w:sz w:val="24"/>
              </w:rPr>
            </w:pPr>
            <w:r>
              <w:rPr>
                <w:sz w:val="24"/>
              </w:rPr>
              <w:t xml:space="preserve">Application of  San Diego Gas and Electric Company in the Second Annual Transition Cost Proceeding Regarding the Transition Cost Balancing Account (TCBA) </w:t>
            </w:r>
          </w:p>
          <w:p>
            <w:pPr>
              <w:pStyle w:val="Normal"/>
              <w:rPr>
                <w:sz w:val="24"/>
              </w:rPr>
            </w:pPr>
            <w:r>
              <w:rPr>
                <w:sz w:val="24"/>
              </w:rPr>
            </w:r>
          </w:p>
        </w:tc>
        <w:tc>
          <w:tcPr>
            <w:tcW w:w="5688" w:type="dxa"/>
            <w:tcBorders>
              <w:start w:val="single" w:sz="6" w:space="0" w:color="000000"/>
              <w:bottom w:val="single" w:sz="6" w:space="0" w:color="000000"/>
              <w:end w:val="single" w:sz="6" w:space="0" w:color="000000"/>
            </w:tcBorders>
          </w:tcPr>
          <w:p>
            <w:pPr>
              <w:pStyle w:val="Normal"/>
              <w:tabs>
                <w:tab w:val="clear" w:pos="720"/>
                <w:tab w:val="left" w:pos="1872" w:leader="none"/>
              </w:tabs>
              <w:snapToGrid w:val="false"/>
              <w:jc w:val="center"/>
              <w:rPr>
                <w:sz w:val="24"/>
              </w:rPr>
            </w:pPr>
            <w:r>
              <w:rPr>
                <w:sz w:val="24"/>
              </w:rPr>
            </w:r>
          </w:p>
          <w:p>
            <w:pPr>
              <w:pStyle w:val="Normal"/>
              <w:tabs>
                <w:tab w:val="clear" w:pos="720"/>
                <w:tab w:val="left" w:pos="1872" w:leader="none"/>
              </w:tabs>
              <w:rPr>
                <w:sz w:val="24"/>
              </w:rPr>
            </w:pPr>
            <w:r>
              <w:rPr>
                <w:sz w:val="24"/>
              </w:rPr>
            </w:r>
          </w:p>
          <w:p>
            <w:pPr>
              <w:pStyle w:val="Normal"/>
              <w:tabs>
                <w:tab w:val="clear" w:pos="720"/>
                <w:tab w:val="left" w:pos="1872" w:leader="none"/>
              </w:tabs>
              <w:rPr>
                <w:sz w:val="24"/>
              </w:rPr>
            </w:pPr>
            <w:r>
              <w:rPr>
                <w:sz w:val="24"/>
              </w:rPr>
              <w:t>Application 99-09-011</w:t>
            </w:r>
          </w:p>
        </w:tc>
        <w:tc>
          <w:tcPr>
            <w:tcW w:w="5688" w:type="dxa"/>
            <w:tcBorders>
              <w:start w:val="single" w:sz="6" w:space="0" w:color="000000"/>
              <w:bottom w:val="single" w:sz="6" w:space="0" w:color="000000"/>
              <w:end w:val="single" w:sz="6" w:space="0" w:color="000000"/>
            </w:tcBorders>
          </w:tcPr>
          <w:p>
            <w:pPr>
              <w:pStyle w:val="Normal"/>
              <w:spacing w:before="0" w:after="240"/>
              <w:rPr>
                <w:sz w:val="24"/>
              </w:rPr>
            </w:pPr>
            <w:r>
              <w:rPr>
                <w:sz w:val="24"/>
              </w:rPr>
              <w:t>.</w:t>
            </w:r>
          </w:p>
          <w:p>
            <w:pPr>
              <w:pStyle w:val="Normal"/>
              <w:rPr>
                <w:sz w:val="24"/>
              </w:rPr>
            </w:pPr>
            <w:r>
              <w:rPr>
                <w:sz w:val="24"/>
              </w:rPr>
            </w:r>
          </w:p>
        </w:tc>
        <w:tc>
          <w:tcPr>
            <w:tcW w:w="3384" w:type="dxa"/>
            <w:tcBorders/>
          </w:tcPr>
          <w:p>
            <w:pPr>
              <w:pStyle w:val="Normal"/>
              <w:tabs>
                <w:tab w:val="clear" w:pos="720"/>
                <w:tab w:val="left" w:pos="1872" w:leader="none"/>
              </w:tabs>
              <w:snapToGrid w:val="false"/>
              <w:jc w:val="center"/>
              <w:rPr>
                <w:sz w:val="24"/>
              </w:rPr>
            </w:pPr>
            <w:r>
              <w:rPr>
                <w:sz w:val="24"/>
              </w:rPr>
            </w:r>
          </w:p>
          <w:p>
            <w:pPr>
              <w:pStyle w:val="Normal"/>
              <w:tabs>
                <w:tab w:val="clear" w:pos="720"/>
                <w:tab w:val="left" w:pos="1872" w:leader="none"/>
              </w:tabs>
              <w:rPr>
                <w:sz w:val="24"/>
              </w:rPr>
            </w:pPr>
            <w:r>
              <w:rPr>
                <w:sz w:val="24"/>
              </w:rPr>
            </w:r>
          </w:p>
        </w:tc>
      </w:tr>
    </w:tbl>
    <w:p>
      <w:pPr>
        <w:pStyle w:val="Normal"/>
        <w:rPr>
          <w:sz w:val="24"/>
        </w:rPr>
      </w:pPr>
      <w:r>
        <w:rPr>
          <w:sz w:val="24"/>
        </w:rPr>
      </w:r>
    </w:p>
    <w:p>
      <w:pPr>
        <w:pStyle w:val="Normal"/>
        <w:jc w:val="center"/>
        <w:rPr>
          <w:b/>
          <w:sz w:val="24"/>
        </w:rPr>
      </w:pPr>
      <w:r>
        <w:rPr>
          <w:b/>
          <w:sz w:val="24"/>
        </w:rPr>
        <w:t>PETITION OF ENRON CORP.</w:t>
      </w:r>
    </w:p>
    <w:p>
      <w:pPr>
        <w:pStyle w:val="Normal"/>
        <w:jc w:val="center"/>
        <w:rPr>
          <w:b/>
          <w:sz w:val="24"/>
        </w:rPr>
      </w:pPr>
      <w:r>
        <w:rPr>
          <w:b/>
          <w:sz w:val="24"/>
        </w:rPr>
        <w:t>TO MODIFY DECISION 00-10-048</w:t>
      </w:r>
    </w:p>
    <w:p>
      <w:pPr>
        <w:pStyle w:val="Normal"/>
        <w:jc w:val="center"/>
        <w:rPr>
          <w:b/>
          <w:sz w:val="24"/>
        </w:rPr>
      </w:pPr>
      <w:r>
        <w:rPr>
          <w:b/>
          <w:sz w:val="24"/>
        </w:rPr>
      </w:r>
    </w:p>
    <w:p>
      <w:pPr>
        <w:pStyle w:val="BodyText"/>
        <w:ind w:hanging="0" w:end="0"/>
        <w:jc w:val="both"/>
        <w:rPr/>
      </w:pPr>
      <w:r>
        <w:rPr>
          <w:sz w:val="24"/>
        </w:rPr>
        <w:tab/>
        <w:t>Pursuant to Public Utilities Code Section 1708 and Rule 47 of the Commission’s Rules of Practice and Procedure, Enron Corp.</w:t>
      </w:r>
      <w:r>
        <w:rPr>
          <w:rStyle w:val="FootnoteCharacters"/>
          <w:rStyle w:val="FootnoteReference"/>
          <w:sz w:val="24"/>
        </w:rPr>
        <w:footnoteReference w:id="2"/>
      </w:r>
      <w:r>
        <w:rPr>
          <w:sz w:val="24"/>
        </w:rPr>
        <w:t xml:space="preserve"> hereby files this Petition for Modification of Decision 00-010-048 issued on October 19, 2000.</w:t>
      </w:r>
    </w:p>
    <w:p>
      <w:pPr>
        <w:pStyle w:val="BodyText"/>
        <w:ind w:hanging="0" w:end="0"/>
        <w:jc w:val="center"/>
        <w:rPr>
          <w:b/>
          <w:sz w:val="24"/>
        </w:rPr>
      </w:pPr>
      <w:r>
        <w:rPr>
          <w:b/>
          <w:sz w:val="24"/>
        </w:rPr>
        <w:t>I.</w:t>
      </w:r>
    </w:p>
    <w:p>
      <w:pPr>
        <w:pStyle w:val="BodyText"/>
        <w:ind w:hanging="0" w:end="0"/>
        <w:jc w:val="center"/>
        <w:rPr>
          <w:b/>
          <w:sz w:val="24"/>
        </w:rPr>
      </w:pPr>
      <w:r>
        <w:rPr>
          <w:b/>
          <w:sz w:val="24"/>
        </w:rPr>
        <w:t>INTRODUCTION</w:t>
      </w:r>
    </w:p>
    <w:p>
      <w:pPr>
        <w:pStyle w:val="BodyText"/>
        <w:ind w:hanging="0" w:end="0"/>
        <w:jc w:val="both"/>
        <w:rPr/>
      </w:pPr>
      <w:r>
        <w:rPr>
          <w:sz w:val="24"/>
        </w:rPr>
        <w:tab/>
        <w:t xml:space="preserve">In Decision 00-10-48, the Commission, among other things, authorized San Diego Gas &amp; Electric Company (“SDG&amp;E”) to set its Competition Transition Charge (“CTC”) revenue requirement for the year 2001 at $115 million.  The Commission’s decision on this matter was premised upon Record Exhibit 19, SDG&amp;E’s Additional Direct Testimony, dated April 27, 2000.  That Testimony, specifically Attachment A thereto, showed a derivation of SDG&amp;E’s 2001 CTC revenue requirement equating to $115 million.  SDG&amp;E stated that “this amount reflects the 12-month forecast of SDG&amp;E’s </w:t>
      </w:r>
      <w:r>
        <w:rPr>
          <w:i/>
          <w:sz w:val="24"/>
        </w:rPr>
        <w:t>above market cost</w:t>
      </w:r>
      <w:r>
        <w:rPr>
          <w:sz w:val="24"/>
        </w:rPr>
        <w:t xml:space="preserve"> for the calendar year 2001, including ongoing cost associated with Qualifying Facilities, Portland General Electric and Public Service of New Mexico purchase power contracts, and SONGS 2 &amp; 3 ICIP.”</w:t>
      </w:r>
      <w:r>
        <w:rPr>
          <w:rStyle w:val="FootnoteCharacters"/>
          <w:rStyle w:val="FootnoteReference"/>
          <w:sz w:val="24"/>
        </w:rPr>
        <w:footnoteReference w:id="3"/>
      </w:r>
      <w:r>
        <w:rPr>
          <w:sz w:val="24"/>
        </w:rPr>
        <w:t xml:space="preserve">  SDG&amp;E further stated that the 2001 revenue requirement “reflects the 12 month amortization of the projected balance in the TCBA at December 31, 2000.”</w:t>
      </w:r>
      <w:r>
        <w:rPr>
          <w:rStyle w:val="FootnoteCharacters"/>
          <w:rStyle w:val="FootnoteReference"/>
          <w:sz w:val="24"/>
        </w:rPr>
        <w:footnoteReference w:id="4"/>
      </w:r>
      <w:r>
        <w:rPr>
          <w:sz w:val="24"/>
        </w:rPr>
        <w:t xml:space="preserve">  While these forecasts may have been reasonable when made, as demonstrated below, events of the past few months in electric wholesale market have rendered them completely erroneous.  Accordingly, SDG&amp;E’s CTC revenue requirement, as adopted in Commission Decision 00-10-048, must be modified to more accurately reflect its on-going transition cost obligation in 2001.  </w:t>
      </w:r>
    </w:p>
    <w:p>
      <w:pPr>
        <w:pStyle w:val="BodyText"/>
        <w:ind w:hanging="0" w:end="0"/>
        <w:jc w:val="center"/>
        <w:rPr>
          <w:b/>
          <w:sz w:val="24"/>
        </w:rPr>
      </w:pPr>
      <w:r>
        <w:rPr>
          <w:b/>
          <w:sz w:val="24"/>
        </w:rPr>
        <w:t>II.</w:t>
      </w:r>
    </w:p>
    <w:p>
      <w:pPr>
        <w:pStyle w:val="BodyText"/>
        <w:ind w:hanging="0" w:end="0"/>
        <w:jc w:val="center"/>
        <w:rPr>
          <w:b/>
          <w:sz w:val="24"/>
        </w:rPr>
      </w:pPr>
      <w:r>
        <w:rPr>
          <w:b/>
          <w:sz w:val="24"/>
        </w:rPr>
        <w:t>ARGUMENT</w:t>
      </w:r>
    </w:p>
    <w:p>
      <w:pPr>
        <w:pStyle w:val="BodyText"/>
        <w:ind w:hanging="0" w:end="0"/>
        <w:jc w:val="both"/>
        <w:rPr>
          <w:sz w:val="24"/>
        </w:rPr>
      </w:pPr>
      <w:r>
        <w:rPr>
          <w:sz w:val="24"/>
        </w:rPr>
        <w:tab/>
        <w:t>The $115 million CTC revenue requirement approved by the Commission for SDG&amp;E in 2001, was grounded in the following forecasts of above market costs for SDG&amp;E’s remaining generating assets:</w:t>
      </w:r>
      <w:r>
        <w:rPr>
          <w:rStyle w:val="FootnoteCharacters"/>
          <w:rStyle w:val="FootnoteReference"/>
          <w:sz w:val="24"/>
        </w:rPr>
        <w:footnoteReference w:id="5"/>
      </w:r>
    </w:p>
    <w:p>
      <w:pPr>
        <w:pStyle w:val="BodyText"/>
        <w:ind w:hanging="0" w:end="0"/>
        <w:jc w:val="both"/>
        <w:rPr>
          <w:sz w:val="24"/>
        </w:rPr>
      </w:pPr>
      <w:r>
        <w:rPr>
          <w:sz w:val="24"/>
        </w:rPr>
        <w:tab/>
        <w:tab/>
        <w:t>SONGS ICIP</w:t>
        <w:tab/>
        <w:tab/>
        <w:t xml:space="preserve">     $</w:t>
        <w:tab/>
        <w:t>38.9 million</w:t>
      </w:r>
    </w:p>
    <w:p>
      <w:pPr>
        <w:pStyle w:val="BodyText"/>
        <w:ind w:hanging="0" w:end="0"/>
        <w:jc w:val="both"/>
        <w:rPr>
          <w:sz w:val="24"/>
        </w:rPr>
      </w:pPr>
      <w:r>
        <w:rPr>
          <w:sz w:val="24"/>
        </w:rPr>
        <w:tab/>
        <w:tab/>
        <w:t>QFs</w:t>
        <w:tab/>
        <w:tab/>
        <w:tab/>
        <w:tab/>
        <w:t>34.2 million</w:t>
      </w:r>
    </w:p>
    <w:p>
      <w:pPr>
        <w:pStyle w:val="BodyText"/>
        <w:ind w:hanging="0" w:end="0"/>
        <w:jc w:val="both"/>
        <w:rPr>
          <w:sz w:val="24"/>
        </w:rPr>
      </w:pPr>
      <w:r>
        <w:rPr>
          <w:sz w:val="24"/>
        </w:rPr>
        <w:tab/>
        <w:tab/>
        <w:t>PGE/PNM</w:t>
        <w:tab/>
        <w:tab/>
        <w:tab/>
        <w:t>35.9 million</w:t>
      </w:r>
    </w:p>
    <w:p>
      <w:pPr>
        <w:pStyle w:val="BodyText"/>
        <w:ind w:hanging="0" w:end="0"/>
        <w:jc w:val="both"/>
        <w:rPr>
          <w:sz w:val="24"/>
        </w:rPr>
      </w:pPr>
      <w:r>
        <w:rPr>
          <w:sz w:val="24"/>
        </w:rPr>
        <w:tab/>
        <w:tab/>
        <w:t>Admin. Costs</w:t>
        <w:tab/>
        <w:tab/>
        <w:tab/>
        <w:t xml:space="preserve"> 1.8 million</w:t>
      </w:r>
    </w:p>
    <w:p>
      <w:pPr>
        <w:pStyle w:val="BodyText"/>
        <w:ind w:hanging="0" w:end="0"/>
        <w:jc w:val="both"/>
        <w:rPr>
          <w:sz w:val="24"/>
        </w:rPr>
      </w:pPr>
      <w:r>
        <w:rPr>
          <w:sz w:val="24"/>
        </w:rPr>
        <w:tab/>
        <w:tab/>
        <w:t>12/31/00 Balance</w:t>
        <w:tab/>
        <w:tab/>
        <w:t xml:space="preserve"> 5.9 million</w:t>
      </w:r>
    </w:p>
    <w:p>
      <w:pPr>
        <w:pStyle w:val="BodyText"/>
        <w:ind w:hanging="0" w:end="0"/>
        <w:jc w:val="both"/>
        <w:rPr>
          <w:sz w:val="24"/>
        </w:rPr>
      </w:pPr>
      <w:r>
        <w:rPr>
          <w:sz w:val="24"/>
        </w:rPr>
        <w:t>These forecasts, made in April of 2000, predated the changes that were experienced in the California wholesale electric market over the past six months.  These changes, for example, caused SDG&amp;E to over collect its 2000 CTC revenue requirement by $100 million as of August 1, 2000.  As stated in Commission Decision 00-08-021:</w:t>
      </w:r>
    </w:p>
    <w:p>
      <w:pPr>
        <w:pStyle w:val="BodyText"/>
        <w:spacing w:lineRule="auto" w:line="240"/>
        <w:ind w:hanging="0" w:start="720" w:end="720"/>
        <w:jc w:val="both"/>
        <w:rPr>
          <w:sz w:val="24"/>
        </w:rPr>
      </w:pPr>
      <w:r>
        <w:rPr>
          <w:sz w:val="24"/>
        </w:rPr>
        <w:t xml:space="preserve">Because the commodity prices exceeded the fixed prices for energy of SDG&amp;E’s portion of the San Onofre Nuclear Generating Station (SONGS) (determined to be approximately 4.3 cent per kilowatt hour) SONGS energy has generated higher revenues than anticipated.  Similarly, expense (or above market costs) and revenues are calculated for SDG&amp;E’s Qualifying Facilities (QF) contracts and its long-term contracts with Portland General electric and Public Service of New Mexico.  The Competition Transition Charge (CTC) rate component was set for 2000 using certain PX forecasts that have turned out to be lower than actual PX prices. There are no above market costs for these power purchase contracts for this time frame and this results in accrued revenue to offset transition costs. </w:t>
      </w:r>
      <w:r>
        <w:rPr>
          <w:rStyle w:val="FootnoteCharacters"/>
          <w:rStyle w:val="FootnoteReference"/>
          <w:sz w:val="24"/>
        </w:rPr>
        <w:footnoteReference w:id="6"/>
      </w:r>
    </w:p>
    <w:p>
      <w:pPr>
        <w:pStyle w:val="BodyText"/>
        <w:spacing w:lineRule="auto" w:line="240"/>
        <w:ind w:hanging="0" w:start="720" w:end="720"/>
        <w:jc w:val="both"/>
        <w:rPr>
          <w:sz w:val="24"/>
        </w:rPr>
      </w:pPr>
      <w:r>
        <w:rPr>
          <w:sz w:val="24"/>
        </w:rPr>
      </w:r>
    </w:p>
    <w:p>
      <w:pPr>
        <w:pStyle w:val="BodyText"/>
        <w:ind w:hanging="0" w:end="0"/>
        <w:jc w:val="both"/>
        <w:rPr/>
      </w:pPr>
      <w:r>
        <w:rPr>
          <w:sz w:val="24"/>
        </w:rPr>
        <w:t>Thus, one of the components upon which SDG&amp;E forecasted its 2001 CTC revenue requirement – a $5.9 million under-collection in the TCBA as of the end of 2000 -- will not materialize.</w:t>
      </w:r>
      <w:r>
        <w:rPr>
          <w:rStyle w:val="FootnoteCharacters"/>
          <w:rStyle w:val="FootnoteReference"/>
          <w:sz w:val="24"/>
        </w:rPr>
        <w:footnoteReference w:id="7"/>
      </w:r>
      <w:r>
        <w:rPr>
          <w:sz w:val="24"/>
        </w:rPr>
        <w:t xml:space="preserve">  The TCBA over-collection in which SDG&amp;E was experiencing this summer has continued, as illustrated by SDG&amp;E’s response to an October 5, 2000 data request of the Commission.</w:t>
      </w:r>
      <w:r>
        <w:rPr>
          <w:rStyle w:val="FootnoteCharacters"/>
          <w:rStyle w:val="FootnoteReference"/>
          <w:sz w:val="24"/>
        </w:rPr>
        <w:footnoteReference w:id="8"/>
      </w:r>
      <w:r>
        <w:rPr>
          <w:sz w:val="24"/>
        </w:rPr>
        <w:t xml:space="preserve">  There is no longer a valid basis for assuming a $5.9 million under-collection (or any under-collection) for year 2000 to be amortized into the 2001 CTC revenue requirement.</w:t>
      </w:r>
    </w:p>
    <w:p>
      <w:pPr>
        <w:pStyle w:val="BodyText"/>
        <w:ind w:hanging="0" w:end="0"/>
        <w:jc w:val="both"/>
        <w:rPr/>
      </w:pPr>
      <w:r>
        <w:rPr>
          <w:sz w:val="24"/>
        </w:rPr>
        <w:tab/>
        <w:t>Similarly, the remainder of SDG&amp;E’s forecast of above market costs for its remaining generation assets has been negated by SDG&amp;E’s recent filing in its Third Annual Transition Cost Proceeding (A. 00-10-008).  In testimony submitted in that proceeding on October 2, 2000, SDG&amp;E projected, as of year end 2001, an over-collection of $229 million in its TCBA associated with its ongoing operation of its remaining generation assets – an amount that is approximately double its authorized revenue requirement for that year.</w:t>
      </w:r>
      <w:r>
        <w:rPr>
          <w:rStyle w:val="FootnoteCharacters"/>
          <w:rStyle w:val="FootnoteReference"/>
          <w:sz w:val="24"/>
        </w:rPr>
        <w:footnoteReference w:id="9"/>
      </w:r>
      <w:r>
        <w:rPr>
          <w:sz w:val="24"/>
        </w:rPr>
        <w:t xml:space="preserve">  </w:t>
      </w:r>
    </w:p>
    <w:p>
      <w:pPr>
        <w:pStyle w:val="BodyText"/>
        <w:ind w:hanging="0" w:end="0"/>
        <w:jc w:val="both"/>
        <w:rPr>
          <w:b/>
          <w:sz w:val="24"/>
        </w:rPr>
      </w:pPr>
      <w:r>
        <w:rPr>
          <w:b/>
          <w:sz w:val="24"/>
        </w:rPr>
        <w:t xml:space="preserve"> </w:t>
      </w:r>
    </w:p>
    <w:p>
      <w:pPr>
        <w:pStyle w:val="BodyText"/>
        <w:ind w:firstLine="720" w:end="0"/>
        <w:jc w:val="both"/>
        <w:rPr>
          <w:sz w:val="24"/>
        </w:rPr>
      </w:pPr>
      <w:r>
        <w:rPr>
          <w:sz w:val="24"/>
        </w:rPr>
        <w:t xml:space="preserve"> </w:t>
      </w:r>
    </w:p>
    <w:p>
      <w:pPr>
        <w:pStyle w:val="BodyText"/>
        <w:ind w:firstLine="720" w:end="0"/>
        <w:jc w:val="both"/>
        <w:rPr>
          <w:sz w:val="24"/>
        </w:rPr>
      </w:pPr>
      <w:r>
        <w:rPr>
          <w:sz w:val="24"/>
        </w:rPr>
      </w:r>
    </w:p>
    <w:p>
      <w:pPr>
        <w:pStyle w:val="BodyText"/>
        <w:ind w:firstLine="720" w:end="0"/>
        <w:jc w:val="both"/>
        <w:rPr>
          <w:sz w:val="24"/>
        </w:rPr>
      </w:pPr>
      <w:r>
        <w:rPr>
          <w:sz w:val="24"/>
        </w:rPr>
      </w:r>
    </w:p>
    <w:p>
      <w:pPr>
        <w:pStyle w:val="PleadingSignature"/>
        <w:spacing w:before="240" w:after="0"/>
        <w:rPr>
          <w:sz w:val="24"/>
        </w:rPr>
      </w:pPr>
      <w:r>
        <w:rPr>
          <w:sz w:val="24"/>
        </w:rPr>
        <w:tab/>
        <w:t>Respectfully submitted,</w:t>
      </w:r>
    </w:p>
    <w:p>
      <w:pPr>
        <w:pStyle w:val="PleadingSignature"/>
        <w:spacing w:before="240" w:after="0"/>
        <w:rPr>
          <w:sz w:val="24"/>
        </w:rPr>
      </w:pPr>
      <w:r>
        <w:rPr>
          <w:sz w:val="24"/>
        </w:rPr>
      </w:r>
    </w:p>
    <w:p>
      <w:pPr>
        <w:pStyle w:val="PleadingSignature"/>
        <w:spacing w:before="240" w:after="0"/>
        <w:rPr>
          <w:sz w:val="24"/>
        </w:rPr>
      </w:pPr>
      <w:r>
        <w:rPr>
          <w:sz w:val="24"/>
        </w:rPr>
      </w:r>
    </w:p>
    <w:p>
      <w:pPr>
        <w:pStyle w:val="PleadingSignature"/>
        <w:rPr>
          <w:sz w:val="24"/>
        </w:rPr>
      </w:pPr>
      <w:r>
        <w:rPr>
          <w:sz w:val="24"/>
        </w:rPr>
        <w:t>By________________________</w:t>
      </w:r>
    </w:p>
    <w:p>
      <w:pPr>
        <w:pStyle w:val="PleadingSignature"/>
        <w:rPr>
          <w:sz w:val="24"/>
        </w:rPr>
      </w:pPr>
      <w:r>
        <w:rPr>
          <w:sz w:val="24"/>
        </w:rPr>
        <w:t xml:space="preserve">        </w:t>
      </w:r>
      <w:r>
        <w:rPr>
          <w:sz w:val="24"/>
        </w:rPr>
        <w:t>Jeanne M. Bennett</w:t>
      </w:r>
    </w:p>
    <w:p>
      <w:pPr>
        <w:pStyle w:val="PleadingSignature"/>
        <w:spacing w:before="240" w:after="0"/>
        <w:rPr>
          <w:sz w:val="24"/>
        </w:rPr>
      </w:pPr>
      <w:r>
        <w:rPr>
          <w:sz w:val="24"/>
        </w:rPr>
        <w:t>GOODIN, MACBRIDE, SQUERI,</w:t>
        <w:br/>
        <w:t>RITCHIE &amp; DAY, LLP</w:t>
      </w:r>
    </w:p>
    <w:p>
      <w:pPr>
        <w:pStyle w:val="PleadingSignature"/>
        <w:rPr>
          <w:sz w:val="24"/>
        </w:rPr>
      </w:pPr>
      <w:r>
        <w:rPr>
          <w:sz w:val="24"/>
        </w:rPr>
        <w:t>Jeanne M. Bennett</w:t>
      </w:r>
    </w:p>
    <w:p>
      <w:pPr>
        <w:pStyle w:val="PleadingSignature"/>
        <w:tabs>
          <w:tab w:val="left" w:pos="5126" w:leader="none"/>
          <w:tab w:val="left" w:pos="6480" w:leader="none"/>
          <w:tab w:val="right" w:pos="9360" w:leader="none"/>
        </w:tabs>
        <w:rPr>
          <w:sz w:val="24"/>
        </w:rPr>
      </w:pPr>
      <w:r>
        <w:rPr>
          <w:sz w:val="24"/>
        </w:rPr>
        <w:t>505 Sansome Street, Suite 900</w:t>
        <w:br/>
        <w:t>San Francisco, California  94111</w:t>
        <w:br/>
        <w:t>Telephone:</w:t>
        <w:tab/>
        <w:t>(415) 392-7900</w:t>
        <w:br/>
        <w:t>Facsimile:</w:t>
        <w:tab/>
        <w:t>(415) 398-4321</w:t>
      </w:r>
    </w:p>
    <w:p>
      <w:pPr>
        <w:pStyle w:val="PleadingSignature"/>
        <w:spacing w:before="240" w:after="0"/>
        <w:ind w:end="120"/>
        <w:rPr>
          <w:sz w:val="24"/>
        </w:rPr>
      </w:pPr>
      <w:r>
        <w:rPr>
          <w:sz w:val="24"/>
        </w:rPr>
        <w:t>Attorney for Enron Corp.</w:t>
      </w:r>
    </w:p>
    <w:p>
      <w:pPr>
        <w:pStyle w:val="PleadingSignature"/>
        <w:spacing w:before="240" w:after="0"/>
        <w:ind w:start="0" w:end="120"/>
        <w:rPr>
          <w:sz w:val="24"/>
        </w:rPr>
      </w:pPr>
      <w:r>
        <w:rPr>
          <w:sz w:val="24"/>
        </w:rPr>
        <w:t>November __, 2000</w:t>
      </w:r>
    </w:p>
    <w:p>
      <w:pPr>
        <w:pStyle w:val="BodyText"/>
        <w:ind w:firstLine="720" w:end="0"/>
        <w:jc w:val="both"/>
        <w:rPr>
          <w:sz w:val="24"/>
        </w:rPr>
      </w:pPr>
      <w:r>
        <w:rPr>
          <w:sz w:val="24"/>
        </w:rPr>
      </w:r>
    </w:p>
    <w:p>
      <w:pPr>
        <w:pStyle w:val="BodyText"/>
        <w:ind w:hanging="0" w:end="0"/>
        <w:jc w:val="both"/>
        <w:rPr>
          <w:sz w:val="24"/>
        </w:rPr>
      </w:pPr>
      <w:r>
        <w:rPr>
          <w:sz w:val="24"/>
        </w:rPr>
        <w:t xml:space="preserve">           </w:t>
      </w:r>
    </w:p>
    <w:p>
      <w:pPr>
        <w:pStyle w:val="BodyText"/>
        <w:spacing w:lineRule="auto" w:line="240"/>
        <w:ind w:hanging="0" w:start="720" w:end="720"/>
        <w:jc w:val="both"/>
        <w:rPr/>
      </w:pPr>
      <w:r>
        <w:rPr>
          <w:sz w:val="24"/>
        </w:rPr>
        <w:t xml:space="preserve">   </w:t>
      </w:r>
      <w:r>
        <w:rPr>
          <w:sz w:val="24"/>
        </w:rPr>
        <w:tab/>
      </w:r>
      <w:r>
        <w:rPr/>
        <w:tab/>
        <w:t xml:space="preserve">  </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PleadingSignature"/>
        <w:tabs>
          <w:tab w:val="left" w:pos="1440" w:leader="none"/>
          <w:tab w:val="left" w:pos="5126" w:leader="none"/>
          <w:tab w:val="right" w:pos="9360" w:leader="none"/>
        </w:tabs>
        <w:spacing w:before="240" w:after="0"/>
        <w:ind w:hanging="5040" w:end="0"/>
        <w:rPr/>
      </w:pPr>
      <w:r>
        <w:rPr/>
        <w:t>Dated:  November __, 2000</w:t>
        <w:tab/>
        <w:t>Respectfully submitted,</w:t>
      </w:r>
    </w:p>
    <w:p>
      <w:pPr>
        <w:pStyle w:val="PleadingSignature"/>
        <w:spacing w:before="240" w:after="0"/>
        <w:rPr/>
      </w:pPr>
      <w:r>
        <w:rPr/>
        <w:t>GOODIN, MACBRIDE, SQUERI,</w:t>
        <w:br/>
        <w:t>RITCHIE &amp; DAY, LLP</w:t>
      </w:r>
    </w:p>
    <w:p>
      <w:pPr>
        <w:pStyle w:val="PleadingSignature"/>
        <w:rPr/>
      </w:pPr>
      <w:r>
        <w:rPr/>
        <w:t>Jeanne M. Bennett, Esq.</w:t>
      </w:r>
    </w:p>
    <w:p>
      <w:pPr>
        <w:pStyle w:val="PleadingSignature"/>
        <w:spacing w:before="720" w:after="0"/>
        <w:rPr/>
      </w:pPr>
      <w:r>
        <w:rPr/>
        <w:t>By</w:t>
      </w:r>
    </w:p>
    <w:p>
      <w:pPr>
        <w:pStyle w:val="PleadingSignature"/>
        <w:pBdr>
          <w:top w:val="single" w:sz="4" w:space="1" w:color="000000"/>
        </w:pBdr>
        <w:tabs>
          <w:tab w:val="left" w:pos="5126" w:leader="none"/>
          <w:tab w:val="left" w:pos="5846" w:leader="none"/>
          <w:tab w:val="right" w:pos="9360" w:leader="none"/>
        </w:tabs>
        <w:ind w:start="5486" w:end="120"/>
        <w:rPr/>
      </w:pPr>
      <w:r>
        <w:rPr/>
        <w:tab/>
        <w:t>Jeanne M. Bennett</w:t>
      </w:r>
    </w:p>
    <w:p>
      <w:pPr>
        <w:pStyle w:val="PleadingSignature"/>
        <w:ind w:end="120"/>
        <w:rPr/>
      </w:pPr>
      <w:r>
        <w:rPr/>
        <w:t>Attorneys for Enron Corp.</w:t>
        <w:br/>
      </w:r>
    </w:p>
    <w:p>
      <w:pPr>
        <w:pStyle w:val="Normal"/>
        <w:rPr/>
      </w:pPr>
      <w:r>
        <w:rPr/>
      </w:r>
    </w:p>
    <w:p>
      <w:pPr>
        <w:pStyle w:val="Normal"/>
        <w:spacing w:lineRule="exact" w:line="200" w:before="240" w:after="0"/>
        <w:rPr/>
      </w:pPr>
      <w:r>
        <w:rPr>
          <w:rStyle w:val="zzmpTrailerItem"/>
        </w:rPr>
        <w:t>2704/102/X18426-1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40" w:type="dxa"/>
      <w:jc w:val="start"/>
      <w:tblInd w:w="0" w:type="dxa"/>
      <w:tblLayout w:type="fixed"/>
      <w:tblCellMar>
        <w:top w:w="0" w:type="dxa"/>
        <w:start w:w="0" w:type="dxa"/>
        <w:bottom w:w="0" w:type="dxa"/>
        <w:end w:w="0" w:type="dxa"/>
      </w:tblCellMar>
    </w:tblPr>
    <w:tblGrid>
      <w:gridCol w:w="4265"/>
      <w:gridCol w:w="810"/>
      <w:gridCol w:w="4265"/>
    </w:tblGrid>
    <w:tr>
      <w:trPr/>
      <w:tc>
        <w:tcPr>
          <w:tcW w:w="4265" w:type="dxa"/>
          <w:tcBorders/>
        </w:tcPr>
        <w:p>
          <w:pPr>
            <w:pStyle w:val="Footer"/>
            <w:snapToGrid w:val="false"/>
            <w:ind w:start="-86" w:end="0"/>
            <w:rPr/>
          </w:pPr>
          <w:r>
            <w:rPr/>
          </w:r>
        </w:p>
      </w:tc>
      <w:tc>
        <w:tcPr>
          <w:tcW w:w="810" w:type="dxa"/>
          <w:tcBorders/>
        </w:tcPr>
        <w:p>
          <w:pPr>
            <w:pStyle w:val="Footer"/>
            <w:spacing w:before="240" w:after="0"/>
            <w:ind w:start="-86" w:end="0"/>
            <w:jc w:val="end"/>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tc>
      <w:tc>
        <w:tcPr>
          <w:tcW w:w="4265" w:type="dxa"/>
          <w:tcBorders/>
        </w:tcPr>
        <w:p>
          <w:pPr>
            <w:pStyle w:val="Footer"/>
            <w:tabs>
              <w:tab w:val="center" w:pos="4320" w:leader="none"/>
              <w:tab w:val="right" w:pos="5014" w:leader="none"/>
              <w:tab w:val="right" w:pos="9360" w:leader="none"/>
            </w:tabs>
            <w:snapToGrid w:val="false"/>
            <w:ind w:start="259" w:end="0"/>
            <w:jc w:val="end"/>
            <w:rPr>
              <w:rStyle w:val="PageNumber"/>
              <w:sz w:val="20"/>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before="0" w:after="240"/>
        <w:ind w:hanging="720" w:start="720" w:end="0"/>
        <w:jc w:val="both"/>
        <w:rPr/>
      </w:pPr>
      <w:r>
        <w:rPr>
          <w:rStyle w:val="FootnoteCharacters"/>
        </w:rPr>
        <w:footnoteRef/>
      </w:r>
      <w:r>
        <w:rPr/>
        <w:t xml:space="preserve"> </w:t>
      </w:r>
      <w:r>
        <w:rPr/>
        <w:tab/>
      </w:r>
      <w:r>
        <w:rPr>
          <w:sz w:val="24"/>
        </w:rPr>
        <w:t xml:space="preserve">Enron Corp. was an interested party in San Diego Gas &amp; Electric Company’s Second Annual Transition Cost Proceeding. </w:t>
      </w:r>
    </w:p>
  </w:footnote>
  <w:footnote w:id="3">
    <w:p>
      <w:pPr>
        <w:pStyle w:val="FootnoteText"/>
        <w:keepLines/>
        <w:spacing w:before="0" w:after="240"/>
        <w:ind w:hanging="720" w:start="720" w:end="0"/>
        <w:jc w:val="both"/>
        <w:rPr/>
      </w:pPr>
      <w:r>
        <w:rPr>
          <w:rStyle w:val="FootnoteCharacters"/>
        </w:rPr>
        <w:footnoteRef/>
      </w:r>
      <w:r>
        <w:rPr/>
        <w:t xml:space="preserve"> </w:t>
      </w:r>
      <w:r>
        <w:rPr/>
        <w:tab/>
      </w:r>
      <w:r>
        <w:rPr>
          <w:sz w:val="24"/>
        </w:rPr>
        <w:t>Additional Direct Testimony, A. 99-09-011 (April 27, 2000) Chapter I, p. 2 (emphasis added).</w:t>
      </w:r>
    </w:p>
  </w:footnote>
  <w:footnote w:id="4">
    <w:p>
      <w:pPr>
        <w:pStyle w:val="FootnoteText"/>
        <w:keepLines/>
        <w:spacing w:before="0" w:after="240"/>
        <w:ind w:hanging="720" w:start="720" w:end="0"/>
        <w:jc w:val="both"/>
        <w:rPr/>
      </w:pPr>
      <w:r>
        <w:rPr>
          <w:rStyle w:val="FootnoteCharacters"/>
        </w:rPr>
        <w:footnoteRef/>
      </w:r>
      <w:r>
        <w:rPr/>
        <w:t xml:space="preserve"> </w:t>
      </w:r>
      <w:r>
        <w:rPr/>
        <w:tab/>
      </w:r>
      <w:r>
        <w:rPr>
          <w:i/>
          <w:sz w:val="24"/>
        </w:rPr>
        <w:t>Id.</w:t>
      </w:r>
    </w:p>
  </w:footnote>
  <w:footnote w:id="5">
    <w:p>
      <w:pPr>
        <w:pStyle w:val="FootnoteText"/>
        <w:keepLines/>
        <w:spacing w:before="0" w:after="240"/>
        <w:ind w:hanging="720" w:start="720" w:end="0"/>
        <w:jc w:val="both"/>
        <w:rPr/>
      </w:pPr>
      <w:r>
        <w:rPr>
          <w:rStyle w:val="FootnoteCharacters"/>
        </w:rPr>
        <w:footnoteRef/>
      </w:r>
      <w:r>
        <w:rPr/>
        <w:t xml:space="preserve"> </w:t>
      </w:r>
      <w:r>
        <w:rPr/>
        <w:tab/>
      </w:r>
      <w:r>
        <w:rPr>
          <w:i/>
        </w:rPr>
        <w:t>Id</w:t>
      </w:r>
      <w:r>
        <w:rPr/>
        <w:t xml:space="preserve">., </w:t>
      </w:r>
      <w:r>
        <w:rPr>
          <w:sz w:val="24"/>
        </w:rPr>
        <w:t>Attachment A.</w:t>
      </w:r>
    </w:p>
  </w:footnote>
  <w:footnote w:id="6">
    <w:p>
      <w:pPr>
        <w:pStyle w:val="FootnoteText"/>
        <w:keepLines/>
        <w:spacing w:before="0" w:after="240"/>
        <w:ind w:hanging="720" w:start="720" w:end="0"/>
        <w:jc w:val="both"/>
        <w:rPr/>
      </w:pPr>
      <w:r>
        <w:rPr>
          <w:rStyle w:val="FootnoteCharacters"/>
        </w:rPr>
        <w:footnoteRef/>
      </w:r>
      <w:r>
        <w:rPr/>
        <w:t xml:space="preserve"> </w:t>
      </w:r>
      <w:r>
        <w:rPr/>
        <w:tab/>
      </w:r>
      <w:r>
        <w:rPr>
          <w:i/>
          <w:sz w:val="24"/>
        </w:rPr>
        <w:t xml:space="preserve">See </w:t>
      </w:r>
      <w:r>
        <w:rPr>
          <w:sz w:val="24"/>
        </w:rPr>
        <w:t>Decision 00-08-021, mimeo, at pp. 6-7.</w:t>
      </w:r>
    </w:p>
  </w:footnote>
  <w:footnote w:id="7">
    <w:p>
      <w:pPr>
        <w:pStyle w:val="FootnoteText"/>
        <w:keepLines/>
        <w:spacing w:before="0" w:after="240"/>
        <w:ind w:hanging="720" w:start="720" w:end="0"/>
        <w:jc w:val="both"/>
        <w:rPr/>
      </w:pPr>
      <w:r>
        <w:rPr>
          <w:rStyle w:val="FootnoteCharacters"/>
        </w:rPr>
        <w:footnoteRef/>
      </w:r>
      <w:r>
        <w:rPr/>
        <w:t xml:space="preserve"> </w:t>
      </w:r>
      <w:r>
        <w:rPr/>
        <w:tab/>
      </w:r>
      <w:r>
        <w:rPr>
          <w:sz w:val="24"/>
        </w:rPr>
        <w:t>Through Decision 00-08-021 (Ordering Paragraph No. 2), the Commission approved SDG&amp;E Advice Letter 1237-E wherein it sought the authority to amortize an approximate $100 million TCBA overcollection to all customers over a 2 month period commencing on August 1, 2000.</w:t>
      </w:r>
    </w:p>
  </w:footnote>
  <w:footnote w:id="8">
    <w:p>
      <w:pPr>
        <w:pStyle w:val="FootnoteText"/>
        <w:keepLines/>
        <w:spacing w:before="0" w:after="240"/>
        <w:ind w:hanging="720" w:start="720" w:end="0"/>
        <w:jc w:val="both"/>
        <w:rPr/>
      </w:pPr>
      <w:r>
        <w:rPr>
          <w:rStyle w:val="FootnoteCharacters"/>
        </w:rPr>
        <w:footnoteRef/>
      </w:r>
      <w:r>
        <w:rPr/>
        <w:t xml:space="preserve"> </w:t>
      </w:r>
      <w:r>
        <w:rPr/>
        <w:tab/>
      </w:r>
      <w:r>
        <w:rPr>
          <w:i/>
          <w:sz w:val="24"/>
        </w:rPr>
        <w:t>See</w:t>
      </w:r>
      <w:r>
        <w:rPr>
          <w:sz w:val="24"/>
        </w:rPr>
        <w:t xml:space="preserve"> SDG&amp;E Initial Response to ALJ Ruling of October 5, 2000 Requesting Information A.99-01-019, et al. (October 16, 2000), Response 1.b.  </w:t>
      </w:r>
    </w:p>
  </w:footnote>
  <w:footnote w:id="9">
    <w:p>
      <w:pPr>
        <w:pStyle w:val="FootnoteText"/>
        <w:keepLines/>
        <w:spacing w:before="0" w:after="240"/>
        <w:ind w:hanging="720" w:start="720" w:end="0"/>
        <w:jc w:val="both"/>
        <w:rPr/>
      </w:pPr>
      <w:r>
        <w:rPr>
          <w:rStyle w:val="FootnoteCharacters"/>
        </w:rPr>
        <w:footnoteRef/>
      </w:r>
      <w:r>
        <w:rPr/>
        <w:t xml:space="preserve"> </w:t>
      </w:r>
      <w:r>
        <w:rPr/>
        <w:tab/>
      </w:r>
      <w:r>
        <w:rPr>
          <w:i/>
          <w:sz w:val="24"/>
        </w:rPr>
        <w:t xml:space="preserve">See </w:t>
      </w:r>
      <w:r>
        <w:rPr>
          <w:sz w:val="24"/>
        </w:rPr>
        <w:t xml:space="preserve">Application of San Diego Gas &amp; Electric Company in the Third Annual Transition Cost Proceeding,  Prepared Testimony, Volume I, Chptr. VIII, Attachment A.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CopyTitle" w:val="False"/>
    <w:docVar w:name="chkIncludeCoverPage" w:val="True"/>
    <w:docVar w:name="chkIncludeFirmAddress" w:val="False"/>
    <w:docVar w:name="cmbAttyName" w:val="2014"/>
    <w:docVar w:name="cmbAttysFor" w:val="Respondent"/>
    <w:docVar w:name="cmbAuthorLists" w:val="-101"/>
    <w:docVar w:name="cmbCAttysFor" w:val="Appellant"/>
    <w:docVar w:name="cmbCrossActions" w:val="none"/>
    <w:docVar w:name="cmbDated" w:val="2"/>
    <w:docVar w:name="cmbDPartyTitle" w:val="Respondent"/>
    <w:docVar w:name="cmbOptBodyTextAlignment" w:val="0"/>
    <w:docVar w:name="cmbOptDated" w:val="2"/>
    <w:docVar w:name="cmbOptFonts" w:val="Times New Roman"/>
    <w:docVar w:name="cmbOptOffices" w:val="1"/>
    <w:docVar w:name="cmbOptSigType" w:val="Respectfully Submitted"/>
    <w:docVar w:name="cmbPPartyTitle" w:val="Appellant"/>
    <w:docVar w:name="cmbPrefLists" w:val="-101"/>
    <w:docVar w:name="cmbSetAuthorPref" w:val="2014"/>
    <w:docVar w:name="iTrailerType" w:val="1"/>
    <w:docVar w:name="lstAttyList" w:val="2014"/>
    <w:docVar w:name="lstCourts" w:val="Public Utilities Commission"/>
    <w:docVar w:name="lstSigType" w:val="Respectfully Submitted"/>
    <w:docVar w:name="OtherCaptionItems" w:val="†"/>
    <w:docVar w:name="packedarray" w:val="Jeanne M. Bennett†2014"/>
    <w:docVar w:name="Restarted" w:val="True"/>
    <w:docVar w:name="tglUseFirmDefaults" w:val="True"/>
    <w:docVar w:name="txtAppealedFrom" w:val="San Francisco"/>
    <w:docVar w:name="txtAppealFrom" w:val="the Superior Court&#10;of California, City and County of"/>
    <w:docVar w:name="txtAttyName" w:val="Jeanne M. Bennett"/>
    <w:docVar w:name="txtAttysFor" w:val="Enron Corp."/>
    <w:docVar w:name="txtCaseNo" w:val="2nd Civil No. "/>
    <w:docVar w:name="txtCAttysFor" w:val="Appellant"/>
    <w:docVar w:name="txtDPartyTitle" w:val="Respondent"/>
    <w:docVar w:name="txtOptFirstLine" w:val="1"/>
    <w:docVar w:name="txtOptFSize" w:val="13"/>
    <w:docVar w:name="txtOptLeftMargin" w:val="1.5"/>
    <w:docVar w:name="txtOptRightMargin" w:val="1.5"/>
    <w:docVar w:name="txtOriginalCaseNo" w:val="Civil Case No. "/>
    <w:docVar w:name="txtPPTitle" w:val="Appellant"/>
    <w:docVar w:name="zzmpFixed_MacPacVersion" w:val="97"/>
    <w:docVar w:name="zzmpFixed_PleadingPaperType" w:val="PPNone"/>
    <w:docVar w:name="zzmpFixedDOC_ID" w:val="2704/102/X1842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before="240" w:after="60"/>
      <w:outlineLvl w:val="3"/>
    </w:pPr>
    <w:rPr>
      <w:rFonts w:ascii="Arial" w:hAnsi="Arial" w:cs="Arial"/>
      <w:b/>
    </w:rPr>
  </w:style>
  <w:style w:type="paragraph" w:styleId="Heading5">
    <w:name w:val="heading 5"/>
    <w:basedOn w:val="Normal"/>
    <w:next w:val="Normal"/>
    <w:qFormat/>
    <w:pPr>
      <w:widowControl/>
      <w:numPr>
        <w:ilvl w:val="4"/>
        <w:numId w:val="1"/>
      </w:numPr>
      <w:spacing w:before="240" w:after="60"/>
      <w:outlineLvl w:val="4"/>
    </w:pPr>
    <w:rPr>
      <w:sz w:val="22"/>
    </w:rPr>
  </w:style>
  <w:style w:type="paragraph" w:styleId="Heading6">
    <w:name w:val="heading 6"/>
    <w:basedOn w:val="Normal"/>
    <w:next w:val="Normal"/>
    <w:qFormat/>
    <w:pPr>
      <w:widowControl/>
      <w:numPr>
        <w:ilvl w:val="5"/>
        <w:numId w:val="1"/>
      </w:numPr>
      <w:spacing w:before="240" w:after="60"/>
      <w:outlineLvl w:val="5"/>
    </w:pPr>
    <w:rPr>
      <w:i/>
      <w:sz w:val="22"/>
    </w:rPr>
  </w:style>
  <w:style w:type="paragraph" w:styleId="Heading7">
    <w:name w:val="heading 7"/>
    <w:basedOn w:val="Normal"/>
    <w:next w:val="Normal"/>
    <w:qFormat/>
    <w:pPr>
      <w:widowControl/>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before="240" w:after="60"/>
      <w:outlineLvl w:val="8"/>
    </w:pPr>
    <w:rPr>
      <w:rFonts w:ascii="Arial" w:hAnsi="Arial" w:cs="Arial"/>
      <w:b/>
      <w:i/>
      <w:sz w:val="18"/>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b/>
      <w:i w:val="false"/>
      <w:caps w:val="false"/>
      <w:smallCaps w:val="false"/>
      <w:strike w:val="false"/>
      <w:dstrike w:val="false"/>
      <w:shadow w:val="false"/>
      <w:vanish w:val="false"/>
      <w:color w:val="0000FF"/>
      <w:position w:val="0"/>
      <w:sz w:val="24"/>
      <w:u w:val="none"/>
      <w:vertAlign w:val="baseline"/>
    </w:rPr>
  </w:style>
  <w:style w:type="character" w:styleId="WW8Num2z2">
    <w:name w:val="WW8Num2z2"/>
    <w:qFormat/>
    <w:rPr>
      <w:b w:val="false"/>
      <w:i w:val="false"/>
      <w:caps w:val="false"/>
      <w:smallCaps w:val="false"/>
      <w:strike w:val="false"/>
      <w:dstrike w:val="false"/>
      <w:shadow w:val="false"/>
      <w:vanish w:val="false"/>
      <w:color w:val="0000FF"/>
      <w:position w:val="0"/>
      <w:sz w:val="24"/>
      <w:vertAlign w:val="baseline"/>
    </w:rPr>
  </w:style>
  <w:style w:type="character" w:styleId="WW8Num2z3">
    <w:name w:val="WW8Num2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2z4">
    <w:name w:val="WW8Num2z4"/>
    <w:qFormat/>
    <w:rPr>
      <w:caps w:val="false"/>
      <w:smallCaps w:val="false"/>
      <w:strike w:val="false"/>
      <w:dstrike w:val="false"/>
      <w:shadow w:val="false"/>
      <w:vanish w:val="false"/>
      <w:color w:val="0000FF"/>
      <w:position w:val="0"/>
      <w:sz w:val="24"/>
      <w:u w:val="none"/>
      <w:vertAlign w:val="baseline"/>
    </w:rPr>
  </w:style>
  <w:style w:type="character" w:styleId="WW8Num2z7">
    <w:name w:val="WW8Num2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Header">
    <w:name w:val="header"/>
    <w:basedOn w:val="Normal"/>
    <w:pPr>
      <w:tabs>
        <w:tab w:val="clear" w:pos="720"/>
        <w:tab w:val="center" w:pos="4320" w:leader="none"/>
        <w:tab w:val="right" w:pos="9360" w:leader="none"/>
      </w:tabs>
    </w:pPr>
    <w:rPr/>
  </w:style>
  <w:style w:type="paragraph" w:styleId="Quote">
    <w:name w:val="Quote"/>
    <w:basedOn w:val="Normal"/>
    <w:next w:val="BodyTextContinued"/>
    <w:qFormat/>
    <w:pPr>
      <w:widowControl/>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FootnoteText">
    <w:name w:val="footnote text"/>
    <w:basedOn w:val="Normal"/>
    <w:pPr>
      <w:keepLines/>
      <w:spacing w:before="0" w:after="240"/>
      <w:ind w:hanging="720" w:start="720" w:end="0"/>
      <w:jc w:val="both"/>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5040" w:end="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CoverPage">
    <w:name w:val="CoverPage"/>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PUC-Appellate.dot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2000-11-16T16:00:00Z</dcterms:created>
  <dc:creator>JMB</dc:creator>
  <dc:description/>
  <dc:language>en-CA</dc:language>
  <cp:lastModifiedBy>JMB</cp:lastModifiedBy>
  <dcterms:modified xsi:type="dcterms:W3CDTF">2000-11-16T16:00:00Z</dcterms:modified>
  <cp:revision>2</cp:revision>
  <dc:subject/>
  <dc:title>BEFORE THE PUBLIC UTILITIES COMMISSION</dc:title>
</cp:coreProperties>
</file>