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numPr>
          <w:ilvl w:val="0"/>
          <w:numId w:val="0"/>
        </w:numPr>
        <w:ind w:firstLine="1440" w:start="0"/>
        <w:outlineLvl w:val="0"/>
        <w:rPr/>
      </w:pPr>
      <w:r>
        <w:rPr/>
        <w:t>Memorandum of Conversation with Mike Florio</w:t>
      </w:r>
    </w:p>
    <w:p>
      <w:pPr>
        <w:pStyle w:val="BodyText"/>
        <w:rPr/>
      </w:pPr>
      <w:r>
        <w:rPr/>
        <w:t>November 3, 2000</w:t>
      </w:r>
    </w:p>
    <w:p>
      <w:pPr>
        <w:pStyle w:val="BodyText"/>
        <w:ind w:hanging="0" w:end="0"/>
        <w:rPr/>
      </w:pPr>
      <w:r>
        <w:rPr/>
        <w:tab/>
        <w:t xml:space="preserve">Mike Florio described his retail/default solution as allowing/forcing the utility to include all existing generation assets in a portfolio (hydro, QF contracts, nukes, contracts, etc.) and filling the rest with a combination of long term bilateral deals and spot PX purchases.  Question:  Can we have someone try to determine what the resulting base cost of the portfolio would be if those assets were priced at cost?  He also assumes that the nukes would be priced at some renegotiated number less than ICIP—which asks for a real struggle.   If this portfolio did not push prices too high, say way above 6-7 cents, then maybe it works. </w:t>
      </w:r>
    </w:p>
    <w:p>
      <w:pPr>
        <w:pStyle w:val="BodyText"/>
        <w:ind w:hanging="0" w:end="0"/>
        <w:rPr/>
      </w:pPr>
      <w:r>
        <w:rPr/>
        <w:t>I asked him about a hypothetical alternative where the utility did the portfolio management and tried to meet or beat a benchmark price (like the GAS PBR, but more fixed, so customers would have certainty as to their rates for a period of time) and the utility would not face reasonableness review, just the very strong incentive to beat the benchmark through any combination of bilateral deals, long term deals, spot purchases and hedges.   He did not jump at it, but did not dismiss it as an idea either.  He recognizes substantial difficulty in agreeing on the benchmark.  He considered the gas PBR model, but I pointed out that is still tied to a basket of short term indexes, so the utility won’t sign longer term deals and will stay in the short term market, which we don’t want them to do.</w:t>
      </w:r>
    </w:p>
    <w:p>
      <w:pPr>
        <w:pStyle w:val="BodyText"/>
        <w:ind w:hanging="0" w:end="0"/>
        <w:rPr/>
      </w:pPr>
      <w:r>
        <w:rPr/>
        <w:t xml:space="preserve">Assuming you can resolve these issues, I asked about trying this model as a 2-3 year transition to a situation where the default provider role was subject to competitive bid or contracting.  He was reluctant to agree to that, but said that Shames is very interested in it and wants to do it.  Florio would agree for it to occur in San Diego, as he has no real constituency there and Sempra is the utility which seems to most want out of the default provider role.  PG&amp;E wants to retain that role for the residential class but is willing to give it up for the large customers.  The interesting item here is that Shames has apparently become taken with the ARM proposal or something like it, and we should follow up.  Shames and Florio are planning to try to craft a joint proposal sometime during November.  </w:t>
      </w:r>
    </w:p>
    <w:p>
      <w:pPr>
        <w:pStyle w:val="BodyText"/>
        <w:ind w:hanging="0" w:end="0"/>
        <w:rPr/>
      </w:pPr>
      <w:r>
        <w:rPr/>
        <w:tab/>
        <w:t xml:space="preserve">He agrees that the CPUC is creating a big log jam with its inability to decide issues in the case.  He also confirms that he only gets lectures from Loretta, never a real back and forth discussion with give and take.  </w:t>
      </w:r>
    </w:p>
    <w:p>
      <w:pPr>
        <w:pStyle w:val="BodyText"/>
        <w:ind w:firstLine="720" w:end="0"/>
        <w:rPr/>
      </w:pPr>
      <w:r>
        <w:rPr/>
        <w:t>He has had a one hour conversation with Bill Julian and other. staff of the Governor.  He laid out his proposal for a utility portfolio for default service based on the existing assets plus long term bilateral contracts.  He inquired about the Muni concept of a public agency transco and was told that it was not out of the question and could be seriously considered.  They said all options were being considered.  He has not had any similar conversations since that meeting.</w:t>
      </w:r>
    </w:p>
    <w:p>
      <w:pPr>
        <w:pStyle w:val="BodyText"/>
        <w:ind w:hanging="0" w:end="0"/>
        <w:rPr/>
      </w:pPr>
      <w:r>
        <w:rPr/>
        <w:tab/>
        <w:t>On the utility undercollection issue, he seems to feel that in the end there can be some sort of compromise to allow the recovery of some of the energy cost undercollections, after trying to net out all the monies collected for CTC with the stranded costs and the energy cost undercollection balances.  He did not agree to any particular solution.  What he objects to is paying off all the stranded costs and letting the utilities then recover all of the outstanding energy cost undercollection.</w:t>
      </w:r>
    </w:p>
    <w:p>
      <w:pPr>
        <w:pStyle w:val="BodyText"/>
        <w:ind w:hanging="0" w:end="0"/>
        <w:rPr/>
      </w:pPr>
      <w:r>
        <w:rPr/>
        <w:tab/>
        <w:t>Florio is attending the AB 1890 meeting Nov. 14-15.  He indicated that it might be an appropriate place to try to begin developing a consensus agreement with the larger groups.  He is open to taking steps toward a joint solution because he sees little chance for a CPUC-led solution.  His biggest fear is that the political leaders in Sacramento will balk at the FERC plan to reorganize the ISO/PX governance boards and will “secede” from the union, trying to maintain some EOB appointed board in defiance of FERC’s proposed solution for transitioning away from a stakeholder board.  He sees this as a real possibility at this time.</w:t>
      </w:r>
    </w:p>
    <w:p>
      <w:pPr>
        <w:pStyle w:val="BodyText"/>
        <w:ind w:hanging="0" w:end="0"/>
        <w:rPr/>
      </w:pPr>
      <w:r>
        <w:rPr/>
      </w:r>
    </w:p>
    <w:p>
      <w:pPr>
        <w:pStyle w:val="Normal"/>
        <w:spacing w:lineRule="exact" w:line="200" w:before="240" w:after="0"/>
        <w:rPr/>
      </w:pPr>
      <w:r>
        <w:rPr>
          <w:rStyle w:val="zzmpTrailerItem"/>
        </w:rPr>
        <w:t>2704/143/X18123-1</w:t>
      </w:r>
      <w:r>
        <w:rPr/>
        <w:t xml:space="preserve"> </w:t>
      </w:r>
    </w:p>
    <w:sectPr>
      <w:headerReference w:type="default" r:id="rId2"/>
      <w:headerReference w:type="first" r:id="rId3"/>
      <w:type w:val="nextPage"/>
      <w:pgSz w:w="12240" w:h="15840"/>
      <w:pgMar w:left="1440" w:right="1440" w:gutter="0" w:header="720" w:top="1440" w:footer="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enter" w:pos="4680" w:leader="none"/>
        <w:tab w:val="right" w:pos="9360"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bWasHeadingSet" w:val="False"/>
    <w:docVar w:name="iTrailerType" w:val="1"/>
    <w:docVar w:name="zzmpFixedDOC_ID" w:val="2704/143/X18123-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i w:val="false"/>
      <w:u w:val="none"/>
    </w:rPr>
  </w:style>
  <w:style w:type="character" w:styleId="WW8Num11z2">
    <w:name w:val="WW8Num1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rFonts w:ascii="Times New Roman" w:hAnsi="Times New Roman" w:cs="Times New Roman"/>
      <w:b w:val="false"/>
      <w:i w:val="false"/>
      <w:caps w:val="false"/>
      <w:smallCaps w:val="false"/>
      <w:strike w:val="false"/>
      <w:dstrike w:val="false"/>
      <w:shadow w:val="false"/>
      <w:emboss/>
      <w:vanish w:val="false"/>
      <w:color w:val="auto"/>
      <w:spacing w:val="0"/>
      <w:position w:val="0"/>
      <w:sz w:val="16"/>
      <w:sz w:val="16"/>
      <w:u w:val="none"/>
      <w:effect w:val="blinkBackground"/>
      <w:vertAlign w:val="baseline"/>
      <w:lang w:val="en-CA" w:eastAsia="en-CA"/>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ind w:hanging="0" w:start="720" w:end="0"/>
    </w:pPr>
    <w:rPr/>
  </w:style>
  <w:style w:type="paragraph" w:styleId="LHFirmName">
    <w:name w:val="LH Firm Name"/>
    <w:basedOn w:val="Normal"/>
    <w:qFormat/>
    <w:pPr/>
    <w:rPr/>
  </w:style>
  <w:style w:type="paragraph" w:styleId="BodyTextContinued">
    <w:name w:val="Body Text Continued"/>
    <w:basedOn w:val="BodyText"/>
    <w:next w:val="BodyText"/>
    <w:qFormat/>
    <w:pPr>
      <w:ind w:hanging="0" w:start="0" w:end="0"/>
    </w:pPr>
    <w:rPr/>
  </w:style>
  <w:style w:type="paragraph" w:styleId="FootnoteText">
    <w:name w:val="footnote text"/>
    <w:basedOn w:val="Normal"/>
    <w:pPr>
      <w:spacing w:lineRule="exact" w:line="240" w:before="0" w:after="120"/>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eastAsia="zh-CN" w:bidi="hi-I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u w:val="single"/>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spacing w:before="0" w:after="240"/>
      <w:ind w:hanging="0" w:start="1440" w:end="1440"/>
    </w:pPr>
    <w:rPr/>
  </w:style>
  <w:style w:type="paragraph" w:styleId="Centered">
    <w:name w:val="Centered"/>
    <w:basedOn w:val="Normal"/>
    <w:next w:val="BodyText"/>
    <w:qFormat/>
    <w:pPr>
      <w:spacing w:lineRule="exact" w:line="240" w:before="0" w:after="240"/>
      <w:jc w:val="center"/>
    </w:pPr>
    <w:rPr/>
  </w:style>
  <w:style w:type="paragraph" w:styleId="HeaderNumbers">
    <w:name w:val="HeaderNumbers"/>
    <w:basedOn w:val="Normal"/>
    <w:qFormat/>
    <w:pPr>
      <w:spacing w:lineRule="exact" w:line="480" w:before="720" w:after="0"/>
      <w:ind w:hanging="0" w:start="0" w:end="144"/>
      <w:jc w:val="end"/>
    </w:pPr>
    <w:rPr/>
  </w:style>
  <w:style w:type="paragraph" w:styleId="LeftHeading">
    <w:name w:val="Left Heading"/>
    <w:basedOn w:val="Normal"/>
    <w:next w:val="Normal"/>
    <w:qFormat/>
    <w:pPr/>
    <w:rPr>
      <w:b/>
    </w:rPr>
  </w:style>
  <w:style w:type="paragraph" w:styleId="PlainText">
    <w:name w:val="Plain Text"/>
    <w:basedOn w:val="Normal"/>
    <w:qFormat/>
    <w:pPr/>
    <w:rPr>
      <w:rFonts w:ascii="Courier New" w:hAnsi="Courier New" w:cs="Courier New"/>
      <w:sz w:val="20"/>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spacing w:lineRule="auto" w:line="480"/>
      <w:ind w:firstLine="1440" w:start="0" w:end="0"/>
    </w:pPr>
    <w:rPr/>
  </w:style>
  <w:style w:type="paragraph" w:styleId="BodyText3">
    <w:name w:val="Body Text 3"/>
    <w:basedOn w:val="Normal"/>
    <w:qFormat/>
    <w:pPr>
      <w:spacing w:before="0" w:after="240"/>
      <w:ind w:hanging="720" w:start="720" w:end="0"/>
    </w:pPr>
    <w:rPr/>
  </w:style>
  <w:style w:type="paragraph" w:styleId="ListBullet">
    <w:name w:val="List Bullet"/>
    <w:basedOn w:val="Normal"/>
    <w:qFormat/>
    <w:pPr>
      <w:numPr>
        <w:ilvl w:val="0"/>
        <w:numId w:val="2"/>
      </w:numPr>
      <w:tabs>
        <w:tab w:val="left" w:pos="720" w:leader="none"/>
      </w:tabs>
      <w:spacing w:before="0" w:after="240"/>
      <w:ind w:hanging="720" w:start="144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2000-11-03T22:11:00Z</dcterms:created>
  <dc:creator>Michael B. Day</dc:creator>
  <dc:description/>
  <dc:language>en-CA</dc:language>
  <cp:lastModifiedBy>Michael B. Day</cp:lastModifiedBy>
  <cp:lastPrinted>1999-11-19T14:48:00Z</cp:lastPrinted>
  <dcterms:modified xsi:type="dcterms:W3CDTF">2000-11-03T22:11:00Z</dcterms:modified>
  <cp:revision>3</cp:revision>
  <dc:subject/>
  <dc:title/>
</cp:coreProperties>
</file>