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rFonts w:ascii="Arial" w:hAnsi="Arial" w:cs="Arial"/>
          <w:b/>
          <w:caps/>
          <w:spacing w:val="60"/>
          <w:sz w:val="26"/>
        </w:rPr>
      </w:pPr>
      <w:r>
        <w:rPr>
          <w:rFonts w:cs="Arial" w:ascii="Arial" w:hAnsi="Arial"/>
          <w:b/>
          <w:caps/>
          <w:spacing w:val="60"/>
          <w:sz w:val="26"/>
        </w:rPr>
        <w:t>Memorandum</w:t>
      </w:r>
    </w:p>
    <w:p>
      <w:pPr>
        <w:pStyle w:val="DeliveryPhrase"/>
        <w:rPr>
          <w:rFonts w:ascii="Arial" w:hAnsi="Arial" w:cs="Arial"/>
          <w:b w:val="false"/>
          <w:caps w:val="false"/>
          <w:smallCaps w:val="false"/>
          <w:spacing w:val="60"/>
          <w:sz w:val="26"/>
        </w:rPr>
      </w:pPr>
      <w:r>
        <w:rPr>
          <w:rFonts w:cs="Arial" w:ascii="Arial" w:hAnsi="Arial"/>
          <w:b w:val="false"/>
          <w:caps w:val="false"/>
          <w:smallCaps w:val="false"/>
          <w:spacing w:val="60"/>
          <w:sz w:val="26"/>
        </w:rPr>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MemoHeading"/>
              <w:spacing w:before="0" w:after="180"/>
              <w:rPr>
                <w:sz w:val="22"/>
              </w:rPr>
            </w:pPr>
            <w:r>
              <w:rPr>
                <w:sz w:val="22"/>
              </w:rPr>
              <w:t>TO:</w:t>
            </w:r>
          </w:p>
        </w:tc>
        <w:tc>
          <w:tcPr>
            <w:tcW w:w="8136" w:type="dxa"/>
            <w:tcBorders/>
          </w:tcPr>
          <w:p>
            <w:pPr>
              <w:pStyle w:val="Normal"/>
              <w:spacing w:before="0" w:after="180"/>
              <w:ind w:end="216"/>
              <w:rPr/>
            </w:pPr>
            <w:r>
              <w:rPr/>
              <w:t>Jeff Dasovich</w:t>
            </w:r>
          </w:p>
        </w:tc>
      </w:tr>
      <w:tr>
        <w:trPr/>
        <w:tc>
          <w:tcPr>
            <w:tcW w:w="1440" w:type="dxa"/>
            <w:tcBorders/>
          </w:tcPr>
          <w:p>
            <w:pPr>
              <w:pStyle w:val="MemoHeading"/>
              <w:spacing w:before="0" w:after="180"/>
              <w:rPr>
                <w:sz w:val="22"/>
              </w:rPr>
            </w:pPr>
            <w:r>
              <w:rPr>
                <w:sz w:val="22"/>
              </w:rPr>
              <w:t>FROM:</w:t>
            </w:r>
          </w:p>
        </w:tc>
        <w:tc>
          <w:tcPr>
            <w:tcW w:w="8136" w:type="dxa"/>
            <w:tcBorders/>
          </w:tcPr>
          <w:p>
            <w:pPr>
              <w:pStyle w:val="Normal"/>
              <w:ind w:end="216"/>
              <w:rPr/>
            </w:pPr>
            <w:r>
              <w:rPr/>
              <w:t xml:space="preserve">Mike Day </w:t>
            </w:r>
          </w:p>
          <w:p>
            <w:pPr>
              <w:pStyle w:val="Normal"/>
              <w:spacing w:before="0" w:after="180"/>
              <w:ind w:end="216"/>
              <w:rPr/>
            </w:pPr>
            <w:r>
              <w:rPr/>
              <w:t>Jeanne Bennett</w:t>
            </w:r>
          </w:p>
        </w:tc>
      </w:tr>
      <w:tr>
        <w:trPr/>
        <w:tc>
          <w:tcPr>
            <w:tcW w:w="1440" w:type="dxa"/>
            <w:tcBorders/>
          </w:tcPr>
          <w:p>
            <w:pPr>
              <w:pStyle w:val="MemoHeading"/>
              <w:spacing w:before="0" w:after="180"/>
              <w:rPr>
                <w:sz w:val="22"/>
              </w:rPr>
            </w:pPr>
            <w:r>
              <w:rPr>
                <w:sz w:val="22"/>
              </w:rPr>
              <w:t>DATE:</w:t>
            </w:r>
          </w:p>
        </w:tc>
        <w:tc>
          <w:tcPr>
            <w:tcW w:w="8136" w:type="dxa"/>
            <w:tcBorders/>
          </w:tcPr>
          <w:p>
            <w:pPr>
              <w:pStyle w:val="Normal"/>
              <w:spacing w:before="0" w:after="180"/>
              <w:ind w:end="216"/>
              <w:rPr/>
            </w:pPr>
            <w:r>
              <w:rPr/>
              <w:fldChar w:fldCharType="begin"/>
            </w:r>
            <w:r>
              <w:rPr/>
              <w:instrText xml:space="preserve"> DATE \@"MMMM\ d', 'yyyy" </w:instrText>
            </w:r>
            <w:r>
              <w:rPr/>
              <w:fldChar w:fldCharType="separate"/>
            </w:r>
            <w:r>
              <w:rPr/>
              <w:t>September 28, 2025</w:t>
            </w:r>
            <w:r>
              <w:rPr/>
              <w:fldChar w:fldCharType="end"/>
            </w:r>
          </w:p>
        </w:tc>
      </w:tr>
      <w:tr>
        <w:trPr/>
        <w:tc>
          <w:tcPr>
            <w:tcW w:w="1440" w:type="dxa"/>
            <w:tcBorders/>
          </w:tcPr>
          <w:p>
            <w:pPr>
              <w:pStyle w:val="MemoHeading"/>
              <w:spacing w:before="0" w:after="180"/>
              <w:rPr>
                <w:sz w:val="22"/>
              </w:rPr>
            </w:pPr>
            <w:r>
              <w:rPr>
                <w:sz w:val="22"/>
              </w:rPr>
              <w:t>SUBJECT:</w:t>
            </w:r>
          </w:p>
        </w:tc>
        <w:tc>
          <w:tcPr>
            <w:tcW w:w="8136" w:type="dxa"/>
            <w:tcBorders/>
          </w:tcPr>
          <w:p>
            <w:pPr>
              <w:pStyle w:val="Normal"/>
              <w:spacing w:before="0" w:after="120"/>
              <w:ind w:end="216"/>
              <w:rPr/>
            </w:pPr>
            <w:r>
              <w:rPr/>
              <w:t xml:space="preserve">PG&amp;E Proposal for Recovery of Current Under-Collection of Wholesale Electricity Costs </w:t>
            </w:r>
          </w:p>
        </w:tc>
      </w:tr>
      <w:tr>
        <w:trPr/>
        <w:tc>
          <w:tcPr>
            <w:tcW w:w="9576" w:type="dxa"/>
            <w:gridSpan w:val="2"/>
            <w:tcBorders>
              <w:top w:val="single" w:sz="6" w:space="0" w:color="000000"/>
            </w:tcBorders>
            <w:tcMar>
              <w:start w:w="108" w:type="dxa"/>
              <w:end w:w="108" w:type="dxa"/>
            </w:tcMar>
          </w:tcPr>
          <w:p>
            <w:pPr>
              <w:pStyle w:val="Normal"/>
              <w:snapToGrid w:val="false"/>
              <w:rPr/>
            </w:pPr>
            <w:r>
              <w:rPr/>
            </w:r>
          </w:p>
        </w:tc>
      </w:tr>
    </w:tbl>
    <w:p>
      <w:pPr>
        <w:pStyle w:val="BodyText"/>
        <w:spacing w:lineRule="auto" w:line="360" w:before="240" w:after="0"/>
        <w:ind w:hanging="0" w:end="0"/>
        <w:jc w:val="both"/>
        <w:rPr/>
      </w:pPr>
      <w:r>
        <w:rPr>
          <w:b/>
        </w:rPr>
        <w:t>Pacific Gas and Electric Company Proposal</w:t>
      </w:r>
      <w:r>
        <w:rPr/>
        <w:t xml:space="preserve">  -- It is our understanding that PG&amp;E is circulating a proposal for the recovery of the current under-collection of its wholesale electricity costs (approximately $2 billion as of the end of August, 2000) that would serve to effect recovery of that under-collection by March 31, 2002.</w:t>
      </w:r>
      <w:r>
        <w:rPr>
          <w:rStyle w:val="FootnoteCharacters"/>
          <w:rStyle w:val="FootnoteReference"/>
        </w:rPr>
        <w:footnoteReference w:id="2"/>
      </w:r>
      <w:r>
        <w:rPr/>
        <w:t xml:space="preserve">  Specifically, PG&amp;E’s proposal would have the current AB 1890-imposed rate freeze extend until its statutorily mandated end date of March 31, 2002.</w:t>
      </w:r>
      <w:r>
        <w:rPr>
          <w:rStyle w:val="FootnoteCharacters"/>
          <w:rStyle w:val="FootnoteReference"/>
        </w:rPr>
        <w:footnoteReference w:id="3"/>
      </w:r>
      <w:r>
        <w:rPr/>
        <w:t xml:space="preserve">  Coupled with the continuation of the rate freeze, PG&amp;E, through some means (</w:t>
      </w:r>
      <w:r>
        <w:rPr>
          <w:i/>
        </w:rPr>
        <w:t>e.g</w:t>
      </w:r>
      <w:r>
        <w:rPr/>
        <w:t>., FERC-imposed cost-based regulation of generation or ISO price caps), would drive down the wholesale cost of electricity. With a reduction in the cost of wholesale electricity, it is PG&amp;E’s theory that it would generate enough extra revenue under its frozen rates to be able to pay down the current $2 billion under-collection.</w:t>
      </w:r>
      <w:r>
        <w:rPr>
          <w:rStyle w:val="FootnoteCharacters"/>
          <w:rStyle w:val="FootnoteReference"/>
        </w:rPr>
        <w:footnoteReference w:id="4"/>
      </w:r>
    </w:p>
    <w:p>
      <w:pPr>
        <w:pStyle w:val="BodyText"/>
        <w:spacing w:lineRule="auto" w:line="360" w:before="240" w:after="0"/>
        <w:ind w:hanging="0" w:end="0"/>
        <w:jc w:val="both"/>
        <w:rPr/>
      </w:pPr>
      <w:r>
        <w:rPr>
          <w:b/>
        </w:rPr>
        <w:t>Analysis of Proposal</w:t>
      </w:r>
      <w:r>
        <w:rPr/>
        <w:t xml:space="preserve"> – Looking only at the portion of PG&amp;E’s proposal which is governed by state regulatory law, </w:t>
      </w:r>
      <w:r>
        <w:rPr>
          <w:i/>
        </w:rPr>
        <w:t>i.e</w:t>
      </w:r>
      <w:r>
        <w:rPr/>
        <w:t>., the termination of the rate freeze, in order to be absolutely certain that its rate freeze does not end until March, 31, 2002, PG&amp;E would need to effect a legislative change.  There is, however, a high probability that PG&amp;E’s rate freeze will, in fact, be extended to the very end of the statutorily mandated period without such a legislative change.</w:t>
      </w:r>
    </w:p>
    <w:p>
      <w:pPr>
        <w:pStyle w:val="BodyText"/>
        <w:spacing w:lineRule="auto" w:line="360" w:before="240" w:after="0"/>
        <w:ind w:hanging="0" w:end="0"/>
        <w:jc w:val="both"/>
        <w:rPr/>
      </w:pPr>
      <w:r>
        <w:rPr/>
        <w:t>Section 368 (a) of the Public Utilities Code states, in applicable part:</w:t>
      </w:r>
    </w:p>
    <w:p>
      <w:pPr>
        <w:pStyle w:val="BodyText"/>
        <w:spacing w:lineRule="auto" w:line="240"/>
        <w:ind w:hanging="0" w:start="1440" w:end="1440"/>
        <w:jc w:val="both"/>
        <w:rPr/>
      </w:pPr>
      <w:r>
        <w:rPr/>
        <w:t xml:space="preserve">That these rate levels [frozen rates] for each customer class, rate schedule, contract, or tariff option shall remain in effect until the earlier of March 31, 2002, or the date of which the commission-authorized costs for utility generation-related assets and obligations have been fully recovered. </w:t>
      </w:r>
    </w:p>
    <w:p>
      <w:pPr>
        <w:pStyle w:val="BodyText"/>
        <w:spacing w:lineRule="auto" w:line="360" w:before="240" w:after="0"/>
        <w:ind w:hanging="0" w:end="0"/>
        <w:jc w:val="both"/>
        <w:rPr/>
      </w:pPr>
      <w:r>
        <w:rPr/>
        <w:t>In interpreting this section of the statute, the Commission has determined that recovery of Commission-authorized costs for utility generation related assets and obligations (“transition costs”) is the “sole criteria for ending a UDC’s rate freeze.</w:t>
      </w:r>
      <w:r>
        <w:rPr>
          <w:rStyle w:val="FootnoteCharacters"/>
          <w:rStyle w:val="FootnoteReference"/>
        </w:rPr>
        <w:footnoteReference w:id="5"/>
      </w:r>
      <w:r>
        <w:rPr/>
        <w:t xml:space="preserve">  Thus, once PG&amp;E has paid off its transition costs, then, in accord with Commission decisions, its rate freeze must end.  </w:t>
      </w:r>
    </w:p>
    <w:p>
      <w:pPr>
        <w:pStyle w:val="BodyText"/>
        <w:spacing w:lineRule="auto" w:line="360" w:before="240" w:after="0"/>
        <w:ind w:hanging="0" w:end="0"/>
        <w:jc w:val="both"/>
        <w:rPr/>
      </w:pPr>
      <w:r>
        <w:rPr/>
        <w:t>Currently, given the high wholesale cost of electricity, PG&amp;E does not have any extra revenue to continue to pay down its transition costs. PG&amp;E, however, has pending before the Commission in its hydro proceeding, a settlement which would value its remaining hydroelectric assets at $2.8 billion. In accord with Section 367 of the Public Utilities Code, this $2.8 billion would be applied against PG&amp;E’s remaining transition costs.  It is clear from the quarterly reports which PG&amp;E provides the Commission that a $2.8 billion credit would more than effect recovery of its remaining transition costs, thus ending PG&amp;E’s rate freeze.  While PG&amp;E’s hydro proceeding would appear to be an avenue for a more expeditious end to the rate freeze, the opposite is true.  This proceeding is mired in controversy.  At this point in time, the proceeding is at a standstill awaiting the draft environmental impact report. There is no realistic timeline for the completion of that report.  After that, comments on the settlement and briefing on the underlying proceeding are scheduled.  There is also a pending motion for rejection of the settlement -- in other words, a procedural morass.  At minimum, it will be another year for the Commission to issue a final decision, and the Commission can really control its own timing on this.</w:t>
      </w:r>
      <w:r>
        <w:rPr>
          <w:rStyle w:val="FootnoteCharacters"/>
          <w:rStyle w:val="FootnoteReference"/>
        </w:rPr>
        <w:footnoteReference w:id="6"/>
      </w:r>
      <w:r>
        <w:rPr/>
        <w:t xml:space="preserve">  The bottom line is that  PG&amp;E could risk that the Commission on its own accord will drag its feet, delaying the end of PG&amp;E’s rate freeze, thus not requiring a statutory guarantee. </w:t>
      </w:r>
    </w:p>
    <w:p>
      <w:pPr>
        <w:pStyle w:val="BodyText"/>
        <w:spacing w:lineRule="auto" w:line="360" w:before="240" w:after="0"/>
        <w:ind w:hanging="0" w:end="0"/>
        <w:jc w:val="both"/>
        <w:rPr/>
      </w:pPr>
      <w:r>
        <w:rPr>
          <w:b/>
        </w:rPr>
        <w:t xml:space="preserve">Probability of Outcome --  </w:t>
      </w:r>
      <w:r>
        <w:rPr/>
        <w:t>In order for PG&amp;E to be successful under its proposal, the following needs to occur:</w:t>
      </w:r>
    </w:p>
    <w:p>
      <w:pPr>
        <w:pStyle w:val="BodyText"/>
        <w:spacing w:lineRule="auto" w:line="360" w:before="240" w:after="0"/>
        <w:ind w:hanging="0" w:end="0"/>
        <w:jc w:val="both"/>
        <w:rPr/>
      </w:pPr>
      <w:r>
        <w:rPr/>
        <w:tab/>
        <w:t>1.  It needs the active cooperation of the Commission to keep its rate freeze going (this is possible because the regulators are scared as to the ramifications of an early freeze); or</w:t>
      </w:r>
    </w:p>
    <w:p>
      <w:pPr>
        <w:pStyle w:val="BodyText"/>
        <w:spacing w:lineRule="auto" w:line="360" w:before="240" w:after="0"/>
        <w:ind w:hanging="0" w:end="0"/>
        <w:jc w:val="both"/>
        <w:rPr/>
      </w:pPr>
      <w:r>
        <w:rPr/>
        <w:tab/>
        <w:t xml:space="preserve">2.  The valuation of PG&amp;E’s hydro assets must not be concluded until the end of the rate AB 1890 rate freeze period (given the current time schedule of this case, there is a high likelihood of this occurring); </w:t>
      </w:r>
    </w:p>
    <w:p>
      <w:pPr>
        <w:pStyle w:val="BodyText"/>
        <w:spacing w:lineRule="auto" w:line="360" w:before="240" w:after="0"/>
        <w:ind w:hanging="0" w:end="0"/>
        <w:jc w:val="both"/>
        <w:rPr/>
      </w:pPr>
      <w:r>
        <w:rPr/>
        <w:t>In addition, PG&amp;E needs:</w:t>
      </w:r>
    </w:p>
    <w:p>
      <w:pPr>
        <w:pStyle w:val="BodyText"/>
        <w:spacing w:lineRule="auto" w:line="360" w:before="240" w:after="0"/>
        <w:ind w:hanging="0" w:end="0"/>
        <w:jc w:val="both"/>
        <w:rPr/>
      </w:pPr>
      <w:r>
        <w:rPr/>
        <w:tab/>
        <w:t>3.  FERC jurisdictional wholes rates to drop to between 3 to 3.5 cents/kWh and stay at that level for a protracted period (highly unlikely at this point in time); or</w:t>
      </w:r>
    </w:p>
    <w:p>
      <w:pPr>
        <w:pStyle w:val="BodyText"/>
        <w:spacing w:lineRule="auto" w:line="360" w:before="240" w:after="0"/>
        <w:ind w:hanging="0" w:end="0"/>
        <w:jc w:val="both"/>
        <w:rPr/>
      </w:pPr>
      <w:r>
        <w:rPr/>
        <w:tab/>
        <w:t>4.  FERC must be persuaded to impose low bidding caps or cost based regulation of wholesale generation as an interim measure of relief for high wholesale prices (there is substantial uncertainty of FERC’s willingness to do this).</w:t>
      </w:r>
    </w:p>
    <w:p>
      <w:pPr>
        <w:pStyle w:val="BodyText"/>
        <w:spacing w:lineRule="auto" w:line="360" w:before="240" w:after="0"/>
        <w:ind w:hanging="0" w:end="0"/>
        <w:jc w:val="both"/>
        <w:rPr/>
      </w:pPr>
      <w:r>
        <w:rPr>
          <w:b/>
        </w:rPr>
        <w:t>Conclusion --</w:t>
      </w:r>
      <w:r>
        <w:rPr/>
        <w:t xml:space="preserve"> Legislation is not needed to ensure that PG&amp;E’s rate freeze extends to the maximum period allowed under the statute unless PG&amp;E’s hydro assets are valued expeditiously and, on that basis. the Commission seeks to end PG&amp;E’s rate freeze immediately (highly unlikely).   The success of PG&amp;E’s plan hinge solely on  success at the FERC .</w:t>
      </w:r>
    </w:p>
    <w:p>
      <w:pPr>
        <w:pStyle w:val="BodyText"/>
        <w:spacing w:lineRule="auto" w:line="360" w:before="240" w:after="0"/>
        <w:ind w:hanging="0" w:end="0"/>
        <w:jc w:val="both"/>
        <w:rPr/>
      </w:pPr>
      <w:r>
        <w:rPr/>
      </w:r>
    </w:p>
    <w:p>
      <w:pPr>
        <w:pStyle w:val="BodyText"/>
        <w:spacing w:lineRule="auto" w:line="360" w:before="240" w:after="0"/>
        <w:ind w:hanging="0" w:end="0"/>
        <w:jc w:val="both"/>
        <w:rPr/>
      </w:pPr>
      <w:r>
        <w:rPr/>
        <w:t xml:space="preserve">         </w:t>
      </w:r>
    </w:p>
    <w:p>
      <w:pPr>
        <w:pStyle w:val="BodyText"/>
        <w:spacing w:lineRule="auto" w:line="360" w:before="240" w:after="0"/>
        <w:ind w:hanging="0" w:end="0"/>
        <w:jc w:val="both"/>
        <w:rPr/>
      </w:pPr>
      <w:r>
        <w:rPr/>
        <w:tab/>
        <w:t xml:space="preserve">  </w:t>
      </w:r>
    </w:p>
    <w:p>
      <w:pPr>
        <w:pStyle w:val="BodyText"/>
        <w:spacing w:before="240" w:after="0"/>
        <w:ind w:hanging="0" w:end="0"/>
        <w:jc w:val="both"/>
        <w:rPr/>
      </w:pPr>
      <w:r>
        <w:rPr/>
        <w:tab/>
        <w:t xml:space="preserve">                        </w:t>
      </w:r>
    </w:p>
    <w:p>
      <w:pPr>
        <w:pStyle w:val="Normal"/>
        <w:spacing w:lineRule="exact" w:line="200" w:before="240" w:after="0"/>
        <w:rPr/>
      </w:pPr>
      <w:r>
        <w:rPr>
          <w:rStyle w:val="zzmpTrailerItem"/>
        </w:rPr>
        <w:t>2704/008/X17537-1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
      </w:rPr>
    </w:pPr>
    <w:r>
      <w:rPr>
        <w:sz w:val="2"/>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jc w:val="center"/>
            <w:rPr/>
          </w:pPr>
          <w:r>
            <w:rPr>
              <w:rStyle w:val="PageNumber"/>
            </w:rPr>
            <w:t>.</w:t>
          </w:r>
        </w:p>
      </w:tc>
      <w:tc>
        <w:tcPr>
          <w:tcW w:w="432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snapToGrid w:val="false"/>
            <w:jc w:val="center"/>
            <w:rPr/>
          </w:pPr>
          <w:r>
            <w:rPr/>
          </w:r>
        </w:p>
      </w:tc>
      <w:tc>
        <w:tcPr>
          <w:tcW w:w="4320" w:type="dxa"/>
          <w:tcBorders/>
        </w:tcPr>
        <w:p>
          <w:pPr>
            <w:pStyle w:val="Footer"/>
            <w:snapToGrid w:val="false"/>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0" w:after="240"/>
        <w:ind w:hanging="720" w:start="720" w:end="0"/>
        <w:jc w:val="both"/>
        <w:rPr/>
      </w:pPr>
      <w:r>
        <w:rPr>
          <w:rStyle w:val="FootnoteCharacters"/>
        </w:rPr>
        <w:footnoteRef/>
      </w:r>
      <w:r>
        <w:rPr/>
        <w:t xml:space="preserve"> </w:t>
      </w:r>
      <w:r>
        <w:rPr/>
        <w:tab/>
        <w:t>Currently, this $2 billion under-collection is booked to PG&amp;E’s Transition Revenue Account (“TRA”). The Commission has repeatedly held that under-collections in the TRA cannot be recovered subsequent to the end of the rate freeze.</w:t>
      </w:r>
    </w:p>
  </w:footnote>
  <w:footnote w:id="3">
    <w:p>
      <w:pPr>
        <w:pStyle w:val="FootnoteText"/>
        <w:keepLines/>
        <w:spacing w:lineRule="exact" w:line="240" w:before="0" w:after="240"/>
        <w:ind w:hanging="720" w:start="720" w:end="0"/>
        <w:jc w:val="both"/>
        <w:rPr/>
      </w:pPr>
      <w:r>
        <w:rPr>
          <w:rStyle w:val="FootnoteCharacters"/>
        </w:rPr>
        <w:footnoteRef/>
      </w:r>
      <w:r>
        <w:rPr/>
        <w:t xml:space="preserve"> </w:t>
      </w:r>
      <w:r>
        <w:rPr/>
        <w:tab/>
        <w:t xml:space="preserve">Under AB 1890, the rate freeze is to end no later than December 31, 2001, with a extension until March 31, 2002, for the limited purpose of collecting no more than $50,000,000 related to exceptions for irrigation districts and certain costs associated with BRPU contracts.   </w:t>
      </w:r>
    </w:p>
  </w:footnote>
  <w:footnote w:id="4">
    <w:p>
      <w:pPr>
        <w:pStyle w:val="FootnoteText"/>
        <w:keepLines/>
        <w:spacing w:lineRule="exact" w:line="240" w:before="0" w:after="240"/>
        <w:ind w:hanging="720" w:start="720" w:end="0"/>
        <w:jc w:val="both"/>
        <w:rPr/>
      </w:pPr>
      <w:r>
        <w:rPr>
          <w:rStyle w:val="FootnoteCharacters"/>
        </w:rPr>
        <w:footnoteRef/>
      </w:r>
      <w:r>
        <w:rPr/>
        <w:t xml:space="preserve"> </w:t>
      </w:r>
      <w:r>
        <w:rPr/>
        <w:tab/>
        <w:t xml:space="preserve">Southern California Edison, which has amassed a similar under-collection (estimate of $2.5 billion as of September, 30, 2000), has determined that in order to be able to fully recover this valance before the end of the rate freeze (December 31, 2001), average PX prices for that period would have to be 3.2 cents/kWh.   </w:t>
      </w:r>
    </w:p>
  </w:footnote>
  <w:footnote w:id="5">
    <w:p>
      <w:pPr>
        <w:pStyle w:val="FootnoteText"/>
        <w:keepLines/>
        <w:spacing w:lineRule="exact" w:line="240" w:before="0" w:after="240"/>
        <w:ind w:hanging="720" w:start="720" w:end="0"/>
        <w:jc w:val="both"/>
        <w:rPr/>
      </w:pPr>
      <w:r>
        <w:rPr>
          <w:rStyle w:val="FootnoteCharacters"/>
        </w:rPr>
        <w:footnoteRef/>
      </w:r>
      <w:r>
        <w:rPr/>
        <w:t xml:space="preserve"> </w:t>
      </w:r>
      <w:r>
        <w:rPr/>
        <w:tab/>
        <w:t xml:space="preserve">Decision 99-10-057, </w:t>
      </w:r>
      <w:r>
        <w:rPr>
          <w:i/>
        </w:rPr>
        <w:t>mimeo</w:t>
      </w:r>
      <w:r>
        <w:rPr/>
        <w:t>, p. 16.</w:t>
      </w:r>
    </w:p>
  </w:footnote>
  <w:footnote w:id="6">
    <w:p>
      <w:pPr>
        <w:pStyle w:val="FootnoteText"/>
        <w:keepLines/>
        <w:spacing w:lineRule="exact" w:line="240" w:before="0" w:after="240"/>
        <w:ind w:hanging="720" w:start="720" w:end="0"/>
        <w:jc w:val="both"/>
        <w:rPr/>
      </w:pPr>
      <w:r>
        <w:rPr>
          <w:rStyle w:val="FootnoteCharacters"/>
        </w:rPr>
        <w:footnoteRef/>
      </w:r>
      <w:r>
        <w:rPr/>
        <w:t xml:space="preserve"> </w:t>
      </w:r>
      <w:r>
        <w:rPr/>
        <w:tab/>
        <w:t xml:space="preserve">Although under SB 960, the Commission is directed to conclude all proceedings within 18 months of their commencement, it has allowed other proceedings to extend past such deadline, with no repercussions.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120" w:after="240"/>
      <w:ind w:start="115" w:end="115"/>
      <w:jc w:val="center"/>
      <w:rPr/>
    </w:pPr>
    <w:r>
      <w:rPr>
        <w:smallCaps/>
        <w:sz w:val="32"/>
      </w:rPr>
      <w:t>Goodin, MacBride,</w:t>
      <w:br/>
      <w:t xml:space="preserve">Squeri, Ritchie </w:t>
    </w:r>
    <w:r>
      <w:rPr>
        <w:smallCaps/>
        <w:sz w:val="26"/>
      </w:rPr>
      <w:t>&amp;</w:t>
    </w:r>
    <w:r>
      <w:rPr>
        <w:smallCaps/>
        <w:sz w:val="32"/>
      </w:rPr>
      <w:t xml:space="preserve"> Day, llp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CALTEL" w:val="False"/>
    <w:docVar w:name="chkIncludeDPhrase" w:val="False"/>
    <w:docVar w:name="chkOptIncludeFirmName" w:val="True"/>
    <w:docVar w:name="chkOptInsertDateAsField" w:val="True"/>
    <w:docVar w:name="cmbAuthor" w:val="2032"/>
    <w:docVar w:name="cmbAuthorLists" w:val="-101"/>
    <w:docVar w:name="cmbOptBodyTextAlignment" w:val="0"/>
    <w:docVar w:name="cmbOptFonts" w:val="Times New Roman"/>
    <w:docVar w:name="cmbOptLetterhead" w:val="Firm Name"/>
    <w:docVar w:name="cmbOptOffices" w:val="1"/>
    <w:docVar w:name="iTrailerType" w:val="1"/>
    <w:docVar w:name="lstDeliveryPhrases" w:val="Attorney Work Product"/>
    <w:docVar w:name="Restarted" w:val="True"/>
    <w:docVar w:name="tglUseFirmDefaults" w:val="True"/>
    <w:docVar w:name="txtFrom" w:val="Jeanne Bennett"/>
    <w:docVar w:name="txtOptBottomMargin" w:val="1"/>
    <w:docVar w:name="txtOptFirstLine" w:val="1"/>
    <w:docVar w:name="txtOptFSize" w:val="12"/>
    <w:docVar w:name="txtOptLeftMargin" w:val="1"/>
    <w:docVar w:name="txtOptRightMargin" w:val="1"/>
    <w:docVar w:name="txtOptTopMargin" w:val="1"/>
    <w:docVar w:name="txtRe" w:val="PG&amp;E Proposal for Recovery of Current Undercollection of Wholesale Electricity Costs "/>
    <w:docVar w:name="txtTo" w:val="Jeff Dasovich"/>
    <w:docVar w:name="zzmpFixed_MacPacVersion" w:val="97"/>
    <w:docVar w:name="zzmpFixedDOC_ID" w:val="2704/008/X1753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u w:val="single"/>
    </w:rPr>
  </w:style>
  <w:style w:type="paragraph" w:styleId="BodyTextIndent">
    <w:name w:val="Body Text Indent"/>
    <w:basedOn w:val="BodyText"/>
    <w:next w:val="BodyText"/>
    <w:pPr>
      <w:spacing w:before="0" w:after="0"/>
      <w:ind w:firstLine="144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keepLines/>
      <w:spacing w:lineRule="exact" w:line="240" w:before="0" w:after="240"/>
      <w:ind w:hanging="720" w:start="720" w:end="0"/>
      <w:jc w:val="both"/>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440" w:end="14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odyTextContinued">
    <w:name w:val="Body Text Continued"/>
    <w:basedOn w:val="BodyText"/>
    <w:next w:val="BodyText"/>
    <w:qFormat/>
    <w:pPr>
      <w:ind w:hanging="0" w:start="0" w:end="0"/>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2000-10-13T17:14:00Z</dcterms:created>
  <dc:creator>JMB</dc:creator>
  <dc:description>Rev. March 13, 1998 10:48:50</dc:description>
  <dc:language>en-CA</dc:language>
  <cp:lastModifiedBy>JMB</cp:lastModifiedBy>
  <cp:lastPrinted>2000-10-13T11:46:00Z</cp:lastPrinted>
  <dcterms:modified xsi:type="dcterms:W3CDTF">2000-10-13T17:14:00Z</dcterms:modified>
  <cp:revision>2</cp:revision>
  <dc:subject/>
  <dc:title/>
</cp:coreProperties>
</file>