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lang w:eastAsia="en-US"/>
        </w:rPr>
      </w:pPr>
      <w:r>
        <w:rPr>
          <w:rFonts w:cs="Arial" w:ascii="Arial" w:hAnsi="Arial"/>
          <w:sz w:val="22"/>
          <w:lang w:eastAsia="en-US"/>
        </w:rPr>
      </w:r>
    </w:p>
    <w:p>
      <w:pPr>
        <w:pStyle w:val="Normal"/>
        <w:numPr>
          <w:ilvl w:val="0"/>
          <w:numId w:val="0"/>
        </w:numPr>
        <w:jc w:val="center"/>
        <w:outlineLvl w:val="0"/>
        <w:rPr>
          <w:rFonts w:ascii="Arial" w:hAnsi="Arial" w:cs="Arial"/>
          <w:b/>
          <w:sz w:val="22"/>
          <w:lang w:eastAsia="en-US"/>
        </w:rPr>
      </w:pPr>
      <w:r>
        <w:rPr>
          <w:rFonts w:cs="Arial" w:ascii="Arial" w:hAnsi="Arial"/>
          <w:b/>
          <w:sz w:val="22"/>
          <w:lang w:eastAsia="en-US"/>
        </w:rPr>
        <w:t>CPUC-Approved Gas Procurement Incentive Mechanisms</w:t>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tab/>
        <w:t>This memo summarizes the gas procurement incentive mechanisms approved for Southern California Gas Company ("SoCalGas") and Pacific Gas and Electric Company ("PG&amp;E").</w:t>
      </w:r>
    </w:p>
    <w:p>
      <w:pPr>
        <w:pStyle w:val="Normal"/>
        <w:rPr>
          <w:rFonts w:ascii="Arial" w:hAnsi="Arial" w:cs="Arial"/>
          <w:sz w:val="22"/>
          <w:lang w:eastAsia="en-US"/>
        </w:rPr>
      </w:pPr>
      <w:r>
        <w:rPr>
          <w:rFonts w:cs="Arial" w:ascii="Arial" w:hAnsi="Arial"/>
          <w:sz w:val="22"/>
          <w:lang w:eastAsia="en-US"/>
        </w:rPr>
      </w:r>
    </w:p>
    <w:p>
      <w:pPr>
        <w:pStyle w:val="Normal"/>
        <w:numPr>
          <w:ilvl w:val="0"/>
          <w:numId w:val="0"/>
        </w:numPr>
        <w:outlineLvl w:val="0"/>
        <w:rPr>
          <w:rFonts w:ascii="Arial" w:hAnsi="Arial" w:cs="Arial"/>
          <w:b/>
          <w:sz w:val="22"/>
          <w:lang w:eastAsia="en-US"/>
        </w:rPr>
      </w:pPr>
      <w:r>
        <w:rPr>
          <w:rFonts w:cs="Arial" w:ascii="Arial" w:hAnsi="Arial"/>
          <w:b/>
          <w:sz w:val="22"/>
          <w:u w:val="single"/>
          <w:lang w:eastAsia="en-US"/>
        </w:rPr>
        <w:t>SoCalGas</w:t>
      </w:r>
    </w:p>
    <w:p>
      <w:pPr>
        <w:pStyle w:val="Normal"/>
        <w:rPr>
          <w:rFonts w:ascii="Arial" w:hAnsi="Arial" w:cs="Arial"/>
          <w:b/>
          <w:sz w:val="22"/>
          <w:lang w:eastAsia="en-US"/>
        </w:rPr>
      </w:pPr>
      <w:r>
        <w:rPr>
          <w:rFonts w:cs="Arial" w:ascii="Arial" w:hAnsi="Arial"/>
          <w:b/>
          <w:sz w:val="22"/>
          <w:lang w:eastAsia="en-US"/>
        </w:rPr>
        <w:tab/>
      </w:r>
    </w:p>
    <w:p>
      <w:pPr>
        <w:pStyle w:val="Normal"/>
        <w:ind w:start="380" w:end="0"/>
        <w:rPr>
          <w:rFonts w:ascii="Arial" w:hAnsi="Arial" w:cs="Arial"/>
          <w:sz w:val="22"/>
          <w:lang w:eastAsia="en-US"/>
        </w:rPr>
      </w:pPr>
      <w:r>
        <w:rPr>
          <w:rFonts w:cs="Arial" w:ascii="Arial" w:hAnsi="Arial"/>
          <w:sz w:val="22"/>
          <w:lang w:eastAsia="en-US"/>
        </w:rPr>
        <w:tab/>
        <w:t xml:space="preserve">The California Public Utilities Commission ("CPUC") approved SoCalGas' Gas Cost Incentive Mechanism ("GCIM") in 1994 by Decision 94-03-076.   The CPUC subsequently modified this decision in D.97-06-061. </w:t>
      </w:r>
    </w:p>
    <w:p>
      <w:pPr>
        <w:pStyle w:val="Normal"/>
        <w:ind w:start="380" w:end="0"/>
        <w:rPr>
          <w:rFonts w:ascii="Arial" w:hAnsi="Arial" w:cs="Arial"/>
          <w:sz w:val="22"/>
          <w:lang w:eastAsia="en-US"/>
        </w:rPr>
      </w:pPr>
      <w:r>
        <w:rPr>
          <w:rFonts w:cs="Arial" w:ascii="Arial" w:hAnsi="Arial"/>
          <w:sz w:val="22"/>
          <w:lang w:eastAsia="en-US"/>
        </w:rPr>
      </w:r>
    </w:p>
    <w:p>
      <w:pPr>
        <w:pStyle w:val="Normal"/>
        <w:ind w:start="380" w:end="0"/>
        <w:rPr>
          <w:rFonts w:ascii="Arial" w:hAnsi="Arial" w:cs="Arial"/>
          <w:sz w:val="22"/>
          <w:lang w:eastAsia="en-US"/>
        </w:rPr>
      </w:pPr>
      <w:r>
        <w:rPr>
          <w:rFonts w:cs="Arial" w:ascii="Arial" w:hAnsi="Arial"/>
          <w:sz w:val="22"/>
          <w:lang w:eastAsia="en-US"/>
        </w:rPr>
        <w:tab/>
        <w:t>The GCIM established a "benchmark budget" for gas purchases and a "tolerance band."  The benchmark was used to measure the price SoCalGas paid for core gas supplies and was based on a combination of the New York Mercantile Exchange (NYMEX) index for gas futures and gas price indices published in Natural Gas Intelligence and Inside FERC.  If SoCalGas spent more than the benchmark plus the tolerance band, shareholders would help to pay for the extra expense, and if SoCalGas spent less than the benchmark, shareholders would share in the savings.  If SoCalGas spent an amount within the tolerance band, close to the benchmark, the company would be permitted to pass such expenses on to its customers.</w:t>
      </w:r>
    </w:p>
    <w:p>
      <w:pPr>
        <w:pStyle w:val="Normal"/>
        <w:ind w:start="380" w:end="0"/>
        <w:rPr>
          <w:rFonts w:ascii="Arial" w:hAnsi="Arial" w:cs="Arial"/>
          <w:sz w:val="22"/>
          <w:lang w:eastAsia="en-US"/>
        </w:rPr>
      </w:pPr>
      <w:r>
        <w:rPr>
          <w:rFonts w:cs="Arial" w:ascii="Arial" w:hAnsi="Arial"/>
          <w:sz w:val="22"/>
          <w:lang w:eastAsia="en-US"/>
        </w:rPr>
      </w:r>
    </w:p>
    <w:p>
      <w:pPr>
        <w:pStyle w:val="Normal"/>
        <w:numPr>
          <w:ilvl w:val="0"/>
          <w:numId w:val="0"/>
        </w:numPr>
        <w:ind w:start="380" w:end="0"/>
        <w:outlineLvl w:val="0"/>
        <w:rPr/>
      </w:pPr>
      <w:r>
        <w:rPr>
          <w:rFonts w:cs="Arial" w:ascii="Arial" w:hAnsi="Arial"/>
          <w:sz w:val="22"/>
          <w:lang w:eastAsia="en-US"/>
        </w:rPr>
        <w:tab/>
      </w:r>
      <w:r>
        <w:rPr>
          <w:rFonts w:cs="Arial" w:ascii="Arial" w:hAnsi="Arial"/>
          <w:sz w:val="22"/>
          <w:u w:val="single"/>
          <w:lang w:eastAsia="en-US"/>
        </w:rPr>
        <w:t>Procurement Incentive Mechanism</w:t>
      </w:r>
      <w:r>
        <w:rPr>
          <w:rFonts w:cs="Arial" w:ascii="Arial" w:hAnsi="Arial"/>
          <w:sz w:val="22"/>
          <w:lang w:eastAsia="en-US"/>
        </w:rPr>
        <w:t xml:space="preserve"> ("PIM")</w:t>
      </w:r>
    </w:p>
    <w:p>
      <w:pPr>
        <w:pStyle w:val="Normal"/>
        <w:ind w:start="380" w:end="0"/>
        <w:rPr>
          <w:rFonts w:ascii="Arial" w:hAnsi="Arial" w:cs="Arial"/>
          <w:sz w:val="22"/>
          <w:lang w:eastAsia="en-US"/>
        </w:rPr>
      </w:pPr>
      <w:r>
        <w:rPr>
          <w:rFonts w:cs="Arial" w:ascii="Arial" w:hAnsi="Arial"/>
          <w:sz w:val="22"/>
          <w:lang w:eastAsia="en-US"/>
        </w:rPr>
      </w:r>
    </w:p>
    <w:p>
      <w:pPr>
        <w:pStyle w:val="Normal"/>
        <w:ind w:start="380" w:end="0"/>
        <w:rPr>
          <w:rFonts w:ascii="Arial" w:hAnsi="Arial" w:cs="Arial"/>
          <w:sz w:val="22"/>
          <w:lang w:eastAsia="en-US"/>
        </w:rPr>
      </w:pPr>
      <w:r>
        <w:rPr>
          <w:rFonts w:cs="Arial" w:ascii="Arial" w:hAnsi="Arial"/>
          <w:sz w:val="22"/>
          <w:lang w:eastAsia="en-US"/>
        </w:rPr>
        <w:tab/>
        <w:t xml:space="preserve">The PIM established a benchmark as a proxy for the market price for gas, which was defined as the price for 30-day firm spot supplies delivered to the SoCalGas market area.  The PIM compared, on an annual basis, the actual cost of SoCalGas purchases to an annual procurement benchmark budget.   The annual benchmark budget was the sum of 12 monthly benchmark budget amounts.  The monthly benchmark budget amount was the sum of monthly benchmark gas commodity costs, monthly commodity transportation costs, and monthly transportation demand charges.  </w:t>
      </w:r>
    </w:p>
    <w:p>
      <w:pPr>
        <w:pStyle w:val="Normal"/>
        <w:ind w:start="380" w:end="0"/>
        <w:rPr>
          <w:rFonts w:ascii="Arial" w:hAnsi="Arial" w:cs="Arial"/>
          <w:sz w:val="22"/>
          <w:lang w:eastAsia="en-US"/>
        </w:rPr>
      </w:pPr>
      <w:r>
        <w:rPr>
          <w:rFonts w:cs="Arial" w:ascii="Arial" w:hAnsi="Arial"/>
          <w:sz w:val="22"/>
          <w:lang w:eastAsia="en-US"/>
        </w:rPr>
      </w:r>
    </w:p>
    <w:p>
      <w:pPr>
        <w:pStyle w:val="Normal"/>
        <w:ind w:start="380" w:end="0"/>
        <w:rPr>
          <w:rFonts w:ascii="Arial" w:hAnsi="Arial" w:cs="Arial"/>
          <w:sz w:val="22"/>
          <w:lang w:eastAsia="en-US"/>
        </w:rPr>
      </w:pPr>
      <w:r>
        <w:rPr>
          <w:rFonts w:cs="Arial" w:ascii="Arial" w:hAnsi="Arial"/>
          <w:sz w:val="22"/>
          <w:lang w:eastAsia="en-US"/>
        </w:rPr>
        <w:tab/>
        <w:t>Monthly benchmark gas commodity costs were the product of the monthly gas commodity reference price multiplied by the volume of gas actually purchased for core subscription customers by SoCalGas, calculated at the mainline, excluding purchases from PITCO, POPCO, and three existing long-term contracts - ARCO '90, Meridian '90, and Enron Bank.  [D.96-01-003 modified D.94-03-076 (1) to limit to 100,000 MMBtu/d the volumes bid by a single supplier in the NYMEX basis bid program to be used for benchmark purposes, (2) to protect against the shift in basis by hedging the marginal gain through a basis swap in determining optimal storage purchases, (3) to adjust the benchmark price rather than the tolerance band in setting storage levels, and (4) to increase the storage incentive mechanism volume of the storage shift from 5 billion cubic feet per day to 10 Bcf. ]</w:t>
      </w:r>
    </w:p>
    <w:p>
      <w:pPr>
        <w:pStyle w:val="Normal"/>
        <w:ind w:start="380" w:end="0"/>
        <w:rPr>
          <w:rFonts w:ascii="Arial" w:hAnsi="Arial" w:cs="Arial"/>
          <w:sz w:val="22"/>
          <w:lang w:eastAsia="en-US"/>
        </w:rPr>
      </w:pPr>
      <w:r>
        <w:rPr>
          <w:rFonts w:cs="Arial" w:ascii="Arial" w:hAnsi="Arial"/>
          <w:sz w:val="22"/>
          <w:lang w:eastAsia="en-US"/>
        </w:rPr>
      </w:r>
    </w:p>
    <w:p>
      <w:pPr>
        <w:pStyle w:val="Normal"/>
        <w:ind w:start="380" w:end="0"/>
        <w:rPr>
          <w:rFonts w:ascii="Arial" w:hAnsi="Arial" w:cs="Arial"/>
          <w:sz w:val="22"/>
          <w:lang w:eastAsia="en-US"/>
        </w:rPr>
      </w:pPr>
      <w:r>
        <w:rPr>
          <w:rFonts w:cs="Arial" w:ascii="Arial" w:hAnsi="Arial"/>
          <w:sz w:val="22"/>
          <w:lang w:eastAsia="en-US"/>
        </w:rPr>
        <w:tab/>
        <w:t>The gas commodity reference price for the market price of gas was determined at the mainline for each of the two southwest U.S. producing basins (Permian and San Juan) which supplied SoCalGas.  Because the Anadarko basin purchases were minimal, these amounts were included in the Permian purchases for purposes of developing basin weighting factors.  The gas commodity reference price consisted of three components: a percentage of Average of Futures Prices, Basis and index values for both Inside FERC and Natural Gas Intelligence.</w:t>
      </w:r>
    </w:p>
    <w:p>
      <w:pPr>
        <w:pStyle w:val="Normal"/>
        <w:ind w:start="380" w:end="0"/>
        <w:rPr>
          <w:rFonts w:ascii="Arial" w:hAnsi="Arial" w:cs="Arial"/>
          <w:sz w:val="22"/>
          <w:lang w:eastAsia="en-US"/>
        </w:rPr>
      </w:pPr>
      <w:r>
        <w:rPr>
          <w:rFonts w:cs="Arial" w:ascii="Arial" w:hAnsi="Arial"/>
          <w:sz w:val="22"/>
          <w:lang w:eastAsia="en-US"/>
        </w:rPr>
      </w:r>
    </w:p>
    <w:p>
      <w:pPr>
        <w:pStyle w:val="Normal"/>
        <w:ind w:start="380" w:end="0"/>
        <w:rPr>
          <w:rFonts w:ascii="Arial" w:hAnsi="Arial" w:cs="Arial"/>
          <w:sz w:val="22"/>
          <w:lang w:eastAsia="en-US"/>
        </w:rPr>
      </w:pPr>
      <w:r>
        <w:rPr>
          <w:rFonts w:cs="Arial" w:ascii="Arial" w:hAnsi="Arial"/>
          <w:sz w:val="22"/>
          <w:lang w:eastAsia="en-US"/>
        </w:rPr>
        <w:tab/>
        <w:t>Monthly transportation costs were the product of pipeline weighted commodity firm transportation rates and fuel costs multiplied by the volume of gas actually purchased as used in the calculation of gas commodity costs as described above.</w:t>
      </w:r>
    </w:p>
    <w:p>
      <w:pPr>
        <w:pStyle w:val="Normal"/>
        <w:ind w:start="380" w:end="0"/>
        <w:rPr>
          <w:rFonts w:ascii="Arial" w:hAnsi="Arial" w:cs="Arial"/>
          <w:sz w:val="22"/>
          <w:lang w:eastAsia="en-US"/>
        </w:rPr>
      </w:pPr>
      <w:r>
        <w:rPr>
          <w:rFonts w:cs="Arial" w:ascii="Arial" w:hAnsi="Arial"/>
          <w:sz w:val="22"/>
          <w:lang w:eastAsia="en-US"/>
        </w:rPr>
      </w:r>
    </w:p>
    <w:p>
      <w:pPr>
        <w:pStyle w:val="Normal"/>
        <w:ind w:start="380" w:end="0"/>
        <w:rPr>
          <w:rFonts w:ascii="Arial" w:hAnsi="Arial" w:cs="Arial"/>
          <w:sz w:val="22"/>
          <w:lang w:eastAsia="en-US"/>
        </w:rPr>
      </w:pPr>
      <w:r>
        <w:rPr>
          <w:rFonts w:cs="Arial" w:ascii="Arial" w:hAnsi="Arial"/>
          <w:sz w:val="22"/>
          <w:lang w:eastAsia="en-US"/>
        </w:rPr>
        <w:tab/>
        <w:t xml:space="preserve">Monthly transportation demand charges were the pipeline weighted transportation demand charges for 848.5 MMcfd of core capacity (1067 MMcfd total ore capacity reserved on El Paso and Transwestern minus 218.5 MMcfd of PITCO capacity) plus core subscription transportation demand charges, minus those pipeline reservation charges paid directly to interstate pipelines by core aggregators. </w:t>
      </w:r>
    </w:p>
    <w:p>
      <w:pPr>
        <w:pStyle w:val="Normal"/>
        <w:ind w:start="380" w:end="0"/>
        <w:rPr>
          <w:rFonts w:ascii="Arial" w:hAnsi="Arial" w:cs="Arial"/>
          <w:sz w:val="22"/>
          <w:lang w:eastAsia="en-US"/>
        </w:rPr>
      </w:pPr>
      <w:r>
        <w:rPr>
          <w:rFonts w:cs="Arial" w:ascii="Arial" w:hAnsi="Arial"/>
          <w:sz w:val="22"/>
          <w:lang w:eastAsia="en-US"/>
        </w:rPr>
        <w:tab/>
      </w:r>
    </w:p>
    <w:p>
      <w:pPr>
        <w:pStyle w:val="Normal"/>
        <w:ind w:start="380" w:end="0"/>
        <w:rPr>
          <w:rFonts w:ascii="Arial" w:hAnsi="Arial" w:cs="Arial"/>
          <w:sz w:val="22"/>
          <w:lang w:eastAsia="en-US"/>
        </w:rPr>
      </w:pPr>
      <w:r>
        <w:rPr>
          <w:rFonts w:cs="Arial" w:ascii="Arial" w:hAnsi="Arial"/>
          <w:sz w:val="22"/>
          <w:lang w:eastAsia="en-US"/>
        </w:rPr>
        <w:tab/>
        <w:t>To determine the allocation of savings/expenses between shareholders and customers, SoCalGas' actual total purchased gas cost (computed on an annual basis) was compared to the annual procurement benchmark budget and the annual procurement benchmark budget plus tolerances to determine if a reward/savings or penalty applied.  If SoCalGas' actual total purchased gas cost for the year were less than the annual procurement budget, the difference constituted a savings incentive to be shared 50/50 between shareholders and ratepayers.  If, on the other hand, SoCalGas' actual total purchased gas costs were above the benchmark budget plus tolerance, then the difference constituted a cost penalty, and the amount over the budget plus tolerance was also shared 50/50 between shareholders and ratepayers.  The incentive to shareholders, 50% of the savings, was included as part of the total cost of gas procurement.</w:t>
      </w:r>
    </w:p>
    <w:p>
      <w:pPr>
        <w:pStyle w:val="Normal"/>
        <w:ind w:start="380" w:end="0"/>
        <w:rPr>
          <w:rFonts w:ascii="Arial" w:hAnsi="Arial" w:cs="Arial"/>
          <w:sz w:val="22"/>
          <w:lang w:eastAsia="en-US"/>
        </w:rPr>
      </w:pPr>
      <w:r>
        <w:rPr>
          <w:rFonts w:cs="Arial" w:ascii="Arial" w:hAnsi="Arial"/>
          <w:sz w:val="22"/>
          <w:lang w:eastAsia="en-US"/>
        </w:rPr>
      </w:r>
    </w:p>
    <w:p>
      <w:pPr>
        <w:pStyle w:val="Normal"/>
        <w:numPr>
          <w:ilvl w:val="0"/>
          <w:numId w:val="0"/>
        </w:numPr>
        <w:ind w:start="380" w:end="0"/>
        <w:outlineLvl w:val="0"/>
        <w:rPr>
          <w:rFonts w:ascii="Arial" w:hAnsi="Arial" w:cs="Arial"/>
          <w:sz w:val="22"/>
          <w:lang w:eastAsia="en-US"/>
        </w:rPr>
      </w:pPr>
      <w:r>
        <w:rPr>
          <w:rFonts w:cs="Arial" w:ascii="Arial" w:hAnsi="Arial"/>
          <w:b/>
          <w:sz w:val="22"/>
          <w:u w:val="single"/>
          <w:lang w:eastAsia="en-US"/>
        </w:rPr>
        <w:t>PG&amp;E</w:t>
      </w:r>
    </w:p>
    <w:p>
      <w:pPr>
        <w:pStyle w:val="Normal"/>
        <w:ind w:start="380" w:end="0"/>
        <w:rPr>
          <w:rFonts w:ascii="Arial" w:hAnsi="Arial" w:cs="Arial"/>
          <w:sz w:val="22"/>
          <w:lang w:eastAsia="en-US"/>
        </w:rPr>
      </w:pPr>
      <w:r>
        <w:rPr>
          <w:rFonts w:cs="Arial" w:ascii="Arial" w:hAnsi="Arial"/>
          <w:sz w:val="22"/>
          <w:lang w:eastAsia="en-US"/>
        </w:rPr>
        <w:tab/>
        <w:t xml:space="preserve">     </w:t>
      </w:r>
    </w:p>
    <w:p>
      <w:pPr>
        <w:pStyle w:val="Normal"/>
        <w:ind w:start="380" w:end="0"/>
        <w:rPr>
          <w:rFonts w:ascii="Arial" w:hAnsi="Arial" w:cs="Arial"/>
          <w:sz w:val="22"/>
          <w:lang w:eastAsia="en-US"/>
        </w:rPr>
      </w:pPr>
      <w:r>
        <w:rPr>
          <w:rFonts w:cs="Arial" w:ascii="Arial" w:hAnsi="Arial"/>
          <w:sz w:val="22"/>
          <w:lang w:eastAsia="en-US"/>
        </w:rPr>
        <w:tab/>
        <w:t>The Gas Accord (Decision 97-08-055) incorporated the provision of PG&amp;E's revised CPIM filed in Application 94-12-039.  The Gas Accord stated that the revised CPIM would be applied retrospectively to determine the recovery of purchased gas costs, transportation costs, and interstate pipeline reservation costs, including ANG and NOVA, from core and core subscription customers incurred from June 1, 1994, until the date of approval of the Gas Accord.  All reservation charges associated with PG&amp;E's subscription to Transwestern capacity for core customers were excluded from recovery through December 31, 1997.</w:t>
      </w:r>
    </w:p>
    <w:p>
      <w:pPr>
        <w:pStyle w:val="Normal"/>
        <w:ind w:start="380" w:end="0"/>
        <w:rPr>
          <w:rFonts w:ascii="Arial" w:hAnsi="Arial" w:cs="Arial"/>
          <w:sz w:val="22"/>
          <w:lang w:eastAsia="en-US"/>
        </w:rPr>
      </w:pPr>
      <w:r>
        <w:rPr>
          <w:rFonts w:cs="Arial" w:ascii="Arial" w:hAnsi="Arial"/>
          <w:sz w:val="22"/>
          <w:lang w:eastAsia="en-US"/>
        </w:rPr>
      </w:r>
    </w:p>
    <w:p>
      <w:pPr>
        <w:pStyle w:val="Normal"/>
        <w:ind w:start="380" w:end="0"/>
        <w:rPr>
          <w:rFonts w:ascii="Arial" w:hAnsi="Arial" w:cs="Arial"/>
          <w:sz w:val="22"/>
          <w:lang w:eastAsia="en-US"/>
        </w:rPr>
      </w:pPr>
      <w:r>
        <w:rPr>
          <w:rFonts w:cs="Arial" w:ascii="Arial" w:hAnsi="Arial"/>
          <w:sz w:val="22"/>
          <w:lang w:eastAsia="en-US"/>
        </w:rPr>
        <w:tab/>
        <w:t xml:space="preserve">PG&amp;E's actual procurement costs were benchmarked against established market price indices for Southwest and Canadian gas supplies.  PG&amp;E was permitted to recover procurement costs if these costs fell within the tolerance band above or below the market indices; if the actual costs fell outside the tolerance band, PG&amp;E's shareholders and customers were to share the benefits or losses equally.  The Gas Accord included a similar procurement incentive mechanism which was to take effect on January 1, 1998. </w:t>
      </w:r>
    </w:p>
    <w:p>
      <w:pPr>
        <w:pStyle w:val="Normal"/>
        <w:ind w:start="380" w:end="0"/>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r>
    </w:p>
    <w:p>
      <w:pPr>
        <w:pStyle w:val="Normal"/>
        <w:spacing w:lineRule="exact" w:line="200" w:before="240" w:after="0"/>
        <w:rPr/>
      </w:pPr>
      <w:r>
        <w:rPr>
          <w:rStyle w:val="zzmpTrailerItem"/>
        </w:rPr>
        <w:t>2704/143/X17222</w:t>
      </w:r>
      <w:r>
        <w:rPr/>
        <w:t xml:space="preserve"> </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DOC_ID" w:val="2704/143/X1722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2000-10-04T20:40:00Z</dcterms:created>
  <dc:creator>HP</dc:creator>
  <dc:description/>
  <dc:language>en-CA</dc:language>
  <cp:lastModifiedBy>Michael B. Day</cp:lastModifiedBy>
  <cp:lastPrinted>2000-10-04T10:29:00Z</cp:lastPrinted>
  <dcterms:modified xsi:type="dcterms:W3CDTF">2000-10-04T20:40:00Z</dcterms:modified>
  <cp:revision>3</cp:revision>
  <dc:subject/>
  <dc:title/>
</cp:coreProperties>
</file>