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pPr>
      <w:r>
        <w:rPr/>
        <w:t>Memorandum</w:t>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Mona L. Petrochko</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 Alexandra M. Ozols</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b/>
              </w:rPr>
            </w:pPr>
            <w:r>
              <w:rPr>
                <w:b/>
              </w:rPr>
              <w:t>PG&amp;E's Sale of Emission Reduction Credits</w:t>
            </w:r>
          </w:p>
        </w:tc>
      </w:tr>
      <w:tr>
        <w:trPr/>
        <w:tc>
          <w:tcPr>
            <w:tcW w:w="9576" w:type="dxa"/>
            <w:gridSpan w:val="2"/>
            <w:tcBorders>
              <w:top w:val="single" w:sz="6" w:space="0" w:color="000000"/>
            </w:tcBorders>
            <w:tcMar>
              <w:start w:w="108" w:type="dxa"/>
              <w:end w:w="108" w:type="dxa"/>
            </w:tcMar>
          </w:tcPr>
          <w:p>
            <w:pPr>
              <w:pStyle w:val="Normal"/>
              <w:snapToGrid w:val="false"/>
              <w:rPr>
                <w:b/>
              </w:rPr>
            </w:pPr>
            <w:r>
              <w:rPr>
                <w:b/>
              </w:rPr>
            </w:r>
          </w:p>
        </w:tc>
      </w:tr>
    </w:tbl>
    <w:p>
      <w:pPr>
        <w:pStyle w:val="Normal"/>
        <w:rPr/>
      </w:pPr>
      <w:r>
        <w:rPr/>
      </w:r>
    </w:p>
    <w:p>
      <w:pPr>
        <w:pStyle w:val="Normal"/>
        <w:spacing w:lineRule="auto" w:line="360"/>
        <w:ind w:firstLine="720" w:end="0"/>
        <w:rPr/>
      </w:pPr>
      <w:r>
        <w:rPr/>
        <w:t xml:space="preserve">In </w:t>
      </w:r>
      <w:r>
        <w:rPr>
          <w:u w:val="single"/>
        </w:rPr>
        <w:t>Decision No. 97-09-046</w:t>
      </w:r>
      <w:r>
        <w:rPr/>
        <w:t>, the Commission granted authority for PG&amp;E to sell its Oakland, Moss Landing and Morro Bay generation plants.  PG&amp;E informed the Commission that it would not its transfer emission reduction credits, (ERCs) to the eventual purchasers of these plants.  The Commission responded that it had no opinion as to the future disposition of any unsold generation-related assets (such as emissions reduction credits), except that future sales of generation-related assets such as ERCs would be subject to PU Code Section 851 and that for any assets it opted to retain, PG&amp;E must file an application pursuant to PU Code Section 377.</w:t>
      </w:r>
    </w:p>
    <w:p>
      <w:pPr>
        <w:pStyle w:val="Normal"/>
        <w:spacing w:lineRule="auto" w:line="360"/>
        <w:ind w:firstLine="720" w:end="0"/>
        <w:rPr/>
      </w:pPr>
      <w:r>
        <w:rPr/>
      </w:r>
    </w:p>
    <w:p>
      <w:pPr>
        <w:pStyle w:val="Normal"/>
        <w:spacing w:lineRule="auto" w:line="360"/>
        <w:ind w:firstLine="720" w:end="0"/>
        <w:rPr>
          <w:u w:val="single"/>
        </w:rPr>
      </w:pPr>
      <w:r>
        <w:rPr>
          <w:u w:val="single"/>
        </w:rPr>
        <w:t>PG&amp;E Seeks CPUC Approval of Sale of ERCs</w:t>
      </w:r>
    </w:p>
    <w:p>
      <w:pPr>
        <w:pStyle w:val="Normal"/>
        <w:spacing w:lineRule="auto" w:line="360"/>
        <w:ind w:firstLine="720" w:end="0"/>
        <w:rPr/>
      </w:pPr>
      <w:r>
        <w:rPr/>
        <w:t xml:space="preserve">In a series of three decisions, PG&amp;E sought Commission approval to sell ERCs.  In Decision No. 00-04-063, PG&amp;E sought Commission approval under PU Code Section 851 to sell Southern Energy Inc. ERCs.  Southern Energy Inc. was the winning bidder in PG&amp;E’s auction of its Bay Area Air Quality Management District (“BAAQMD”) Certificates Nos. 73 and 98. </w:t>
      </w:r>
    </w:p>
    <w:p>
      <w:pPr>
        <w:pStyle w:val="Normal"/>
        <w:spacing w:lineRule="auto" w:line="360"/>
        <w:ind w:firstLine="720" w:end="0"/>
        <w:rPr/>
      </w:pPr>
      <w:r>
        <w:rPr/>
        <w:t xml:space="preserve">In Decision No. 00-04-064, PG&amp;E sought permission to sell the winning bidder, Calpine Corporation, ERCs (ERC Certificate Nos. 14 and 100) in the BAAQMD.  </w:t>
      </w:r>
    </w:p>
    <w:p>
      <w:pPr>
        <w:pStyle w:val="Normal"/>
        <w:spacing w:lineRule="auto" w:line="360"/>
        <w:ind w:firstLine="720" w:end="0"/>
        <w:rPr/>
      </w:pPr>
      <w:r>
        <w:rPr/>
        <w:t>Lastly in Decision No. 00-04-065, PG&amp;E sought Commission approval to sell Duke Energy Moss Landing its ERCS (Certificate Nos. 53a-e.) in the Monterey Bay Unified Air Pollution Control District Certificate.  Again these ERCs were sold through an auction.</w:t>
      </w:r>
    </w:p>
    <w:p>
      <w:pPr>
        <w:pStyle w:val="Normal"/>
        <w:spacing w:lineRule="auto" w:line="360"/>
        <w:ind w:firstLine="720" w:end="0"/>
        <w:rPr>
          <w:u w:val="single"/>
        </w:rPr>
      </w:pPr>
      <w:r>
        <w:rPr>
          <w:u w:val="single"/>
        </w:rPr>
      </w:r>
    </w:p>
    <w:p>
      <w:pPr>
        <w:pStyle w:val="Normal"/>
        <w:spacing w:lineRule="auto" w:line="360"/>
        <w:ind w:firstLine="720" w:end="0"/>
        <w:rPr>
          <w:u w:val="single"/>
        </w:rPr>
      </w:pPr>
      <w:r>
        <w:rPr>
          <w:u w:val="single"/>
        </w:rPr>
        <w:t xml:space="preserve">Auction Method </w:t>
      </w:r>
    </w:p>
    <w:p>
      <w:pPr>
        <w:pStyle w:val="Normal"/>
        <w:spacing w:lineRule="auto" w:line="360"/>
        <w:ind w:firstLine="720" w:end="0"/>
        <w:rPr/>
      </w:pPr>
      <w:r>
        <w:rPr/>
        <w:t>In each instance the Commission approved the sale of ERCS.  It noted ORA’s approval of the auction methods.  These methods involved PG&amp;E sending out requests for bid proposals to potential bidders, as well as announcing the auction through various media services – print radio etc.  In addition, PG&amp;E provided auction protocols that prevented any one bidder from controlling a significant amount of ERCs from an Air Pollution Control District.  Bidders submitted a price-only bid.</w:t>
      </w:r>
    </w:p>
    <w:p>
      <w:pPr>
        <w:pStyle w:val="Normal"/>
        <w:spacing w:lineRule="auto" w:line="360"/>
        <w:ind w:firstLine="720" w:end="0"/>
        <w:rPr>
          <w:u w:val="single"/>
        </w:rPr>
      </w:pPr>
      <w:r>
        <w:rPr>
          <w:u w:val="single"/>
        </w:rPr>
      </w:r>
    </w:p>
    <w:p>
      <w:pPr>
        <w:pStyle w:val="Normal"/>
        <w:spacing w:lineRule="auto" w:line="360"/>
        <w:ind w:firstLine="720" w:end="0"/>
        <w:rPr>
          <w:u w:val="single"/>
        </w:rPr>
      </w:pPr>
      <w:r>
        <w:rPr>
          <w:u w:val="single"/>
        </w:rPr>
        <w:t>Rate making Treatment</w:t>
      </w:r>
    </w:p>
    <w:p>
      <w:pPr>
        <w:pStyle w:val="Normal"/>
        <w:spacing w:lineRule="auto" w:line="360"/>
        <w:ind w:firstLine="720" w:end="0"/>
        <w:rPr/>
      </w:pPr>
      <w:r>
        <w:rPr/>
        <w:t xml:space="preserve">PG&amp;E proposed a rate making treatment for its three applications, which the Commission approved.  PG&amp;E had acquired the ERCs for a nominal filing fee from the Air Pollution Control Districts and the ERCs had no book value.  The ERCs were never recorded in the rate base, therefore the revenue requirement was zero.  Thus there would be no change in the rate base from the sale.  PG&amp;E sought to book the net gain on sale of the ERCs to the Competition Transition Charge Revenue Section of the Transition Cost Balancing Account thereby benefiting PG&amp;E ratepayers.  The Commission approved this treatment of the proposed ERC sales as opposed to having the net gain refunded directly to ratepayers.  </w:t>
      </w:r>
    </w:p>
    <w:p>
      <w:pPr>
        <w:pStyle w:val="Normal"/>
        <w:spacing w:lineRule="auto" w:line="360"/>
        <w:ind w:firstLine="720" w:end="0"/>
        <w:rPr/>
      </w:pPr>
      <w:r>
        <w:rPr/>
        <w:t xml:space="preserve">In Decision No. 97-11-074, the Commission held that to comply with PU Code Section 367(b) PG&amp;E must credit the after-tax proceeds from the sales of emission credits to the Transition Cost Balancing Cost.  Section 367(b) required that both above-market and below-market assets be netted to determine the uneconomic piece of transition costs.  The Commission noted that the sale of emission credits resulted in a “gain from the sale of utility property, rather than from utility over-collection or imprudent conduct,” therefore to place the funds in the Transition Cost Balancing Account made more sense than placing them in the Electric Deferred Refund Account.  See Pages 177-178. </w:t>
      </w:r>
    </w:p>
    <w:p>
      <w:pPr>
        <w:pStyle w:val="Normal"/>
        <w:spacing w:lineRule="auto" w:line="360"/>
        <w:ind w:firstLine="720" w:end="0"/>
        <w:rPr>
          <w:u w:val="single"/>
        </w:rPr>
      </w:pPr>
      <w:r>
        <w:rPr>
          <w:u w:val="single"/>
        </w:rPr>
      </w:r>
    </w:p>
    <w:p>
      <w:pPr>
        <w:pStyle w:val="Normal"/>
        <w:spacing w:lineRule="auto" w:line="360"/>
        <w:ind w:firstLine="720" w:end="0"/>
        <w:rPr>
          <w:u w:val="single"/>
        </w:rPr>
      </w:pPr>
      <w:r>
        <w:rPr>
          <w:u w:val="single"/>
        </w:rPr>
        <w:t>Exemption from CEQA Guidelines</w:t>
      </w:r>
    </w:p>
    <w:p>
      <w:pPr>
        <w:pStyle w:val="Normal"/>
        <w:spacing w:lineRule="auto" w:line="360"/>
        <w:ind w:firstLine="720" w:end="0"/>
        <w:rPr/>
      </w:pPr>
      <w:r>
        <w:rPr/>
        <w:t xml:space="preserve">In the three proposed sales mentioned above,  the sale of the ERCs would be exempt from CEQA guidelines, as they would not result in a direct or reasonably forseeable indirect physical change in the environment.  CEQA Guidelines §§15060c(2), 15061(b)(3).  For example, Southern Energy proposed to use its ERCs as emission offsets for new and modified facilities that generate electricity.  These new and modified facilities would include electrical generating facilities, electric cogeneration facilities, and resource waste recovery electrical generation facilities.  Any increase in criteria pollutant emissions in the effected air basis for which the ERCs may be used by Southern Energy for new or modified generation projects would occur under air quality permits and would be consistent with emissions limitations and standards within the air basis in which they were issued.  </w:t>
      </w:r>
    </w:p>
    <w:p>
      <w:pPr>
        <w:pStyle w:val="Normal"/>
        <w:spacing w:lineRule="auto" w:line="360"/>
        <w:ind w:firstLine="720" w:end="0"/>
        <w:rPr/>
      </w:pPr>
      <w:r>
        <w:rPr/>
      </w:r>
    </w:p>
    <w:p>
      <w:pPr>
        <w:pStyle w:val="Normal"/>
        <w:spacing w:lineRule="exact" w:line="200" w:before="240" w:after="0"/>
        <w:rPr/>
      </w:pPr>
      <w:r>
        <w:rPr>
          <w:rStyle w:val="zzmpTrailerItem"/>
        </w:rPr>
        <w:t>2704/008/X16872-1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46"/>
    <w:docVar w:name="cmbAuthorLists" w:val="-100"/>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False"/>
    <w:docVar w:name="txtFrom" w:val="AMO"/>
    <w:docVar w:name="txtOptBottomMargin" w:val="1"/>
    <w:docVar w:name="txtOptFirstLine" w:val="1"/>
    <w:docVar w:name="txtOptFSize" w:val="12"/>
    <w:docVar w:name="txtOptLeftMargin" w:val="1"/>
    <w:docVar w:name="txtOptRightMargin" w:val="1"/>
    <w:docVar w:name="txtOptTopMargin" w:val="1"/>
    <w:docVar w:name="txtRe" w:val="PG&amp;E's Sale of Emission Reduction Credits"/>
    <w:docVar w:name="txtTo" w:val="MBD"/>
    <w:docVar w:name="zzmpFixed_MacPacVersion" w:val="97"/>
    <w:docVar w:name="zzmpFixedDOC_ID" w:val="2704/008/X1687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2000-09-25T20:48:00Z</dcterms:created>
  <dc:creator>AMO</dc:creator>
  <dc:description>Rev. March 13, 1998 10:48:50</dc:description>
  <dc:language>en-CA</dc:language>
  <cp:lastModifiedBy>AMO</cp:lastModifiedBy>
  <cp:lastPrinted>2000-09-25T16:06:00Z</cp:lastPrinted>
  <dcterms:modified xsi:type="dcterms:W3CDTF">2000-09-25T20:48:00Z</dcterms:modified>
  <cp:revision>2</cp:revision>
  <dc:subject/>
  <dc:title>Sale of ERCs by PG&amp;E  (X16872.DOC;1)</dc:title>
</cp:coreProperties>
</file>