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Order Instituting Investigation into the</w:t>
            </w:r>
          </w:p>
          <w:p>
            <w:pPr>
              <w:pStyle w:val="Normal"/>
              <w:rPr/>
            </w:pPr>
            <w:r>
              <w:rPr/>
              <w:t>Functioning of the Wholesale Electric</w:t>
            </w:r>
          </w:p>
          <w:p>
            <w:pPr>
              <w:pStyle w:val="Normal"/>
              <w:rPr/>
            </w:pPr>
            <w:r>
              <w:rPr/>
              <w:t>Market and Associated Impact on Retail</w:t>
            </w:r>
          </w:p>
          <w:p>
            <w:pPr>
              <w:pStyle w:val="Normal"/>
              <w:rPr/>
            </w:pPr>
            <w:r>
              <w:rPr/>
              <w:t xml:space="preserve">Rates </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jc w:val="center"/>
              <w:rPr/>
            </w:pPr>
            <w:r>
              <w:rPr/>
              <w:t>Investigation 00-08-002</w:t>
            </w:r>
          </w:p>
          <w:p>
            <w:pPr>
              <w:pStyle w:val="Normal"/>
              <w:tabs>
                <w:tab w:val="clear" w:pos="720"/>
                <w:tab w:val="left" w:pos="1872" w:leader="none"/>
              </w:tabs>
              <w:jc w:val="center"/>
              <w:rPr/>
            </w:pPr>
            <w:r>
              <w:rPr/>
              <w:t>(August 3, 2000)</w:t>
            </w:r>
          </w:p>
        </w:tc>
      </w:tr>
    </w:tbl>
    <w:p>
      <w:pPr>
        <w:pStyle w:val="Normal"/>
        <w:jc w:val="center"/>
        <w:rPr>
          <w:b/>
        </w:rPr>
      </w:pPr>
      <w:r>
        <w:rPr>
          <w:b/>
        </w:rPr>
      </w:r>
    </w:p>
    <w:p>
      <w:pPr>
        <w:pStyle w:val="Normal"/>
        <w:spacing w:before="720" w:after="0"/>
        <w:jc w:val="center"/>
        <w:rPr>
          <w:b/>
        </w:rPr>
      </w:pPr>
      <w:r>
        <w:rPr>
          <w:b/>
        </w:rPr>
      </w:r>
    </w:p>
    <w:p>
      <w:pPr>
        <w:pStyle w:val="Normal"/>
        <w:numPr>
          <w:ilvl w:val="0"/>
          <w:numId w:val="0"/>
        </w:numPr>
        <w:spacing w:before="720" w:after="0"/>
        <w:jc w:val="center"/>
        <w:outlineLvl w:val="0"/>
        <w:rPr>
          <w:b/>
        </w:rPr>
      </w:pPr>
      <w:r>
        <w:rPr>
          <w:b/>
        </w:rPr>
        <w:t>COMMENTS OF</w:t>
      </w:r>
    </w:p>
    <w:p>
      <w:pPr>
        <w:pStyle w:val="Normal"/>
        <w:numPr>
          <w:ilvl w:val="0"/>
          <w:numId w:val="0"/>
        </w:numPr>
        <w:jc w:val="center"/>
        <w:outlineLvl w:val="0"/>
        <w:rPr>
          <w:b/>
        </w:rPr>
      </w:pPr>
      <w:r>
        <w:rPr>
          <w:b/>
        </w:rPr>
        <w:t>THE ALLIANCE FOR RETAIL MARKETS</w:t>
      </w:r>
    </w:p>
    <w:p>
      <w:pPr>
        <w:pStyle w:val="Normal"/>
        <w:numPr>
          <w:ilvl w:val="0"/>
          <w:numId w:val="0"/>
        </w:numPr>
        <w:jc w:val="center"/>
        <w:outlineLvl w:val="0"/>
        <w:rPr>
          <w:b/>
        </w:rPr>
      </w:pPr>
      <w:r>
        <w:rPr>
          <w:b/>
        </w:rPr>
        <w:t>IN RESPONSE TO ASSIGNED COMMISSIONER’S RULING</w:t>
      </w:r>
    </w:p>
    <w:p>
      <w:pPr>
        <w:pStyle w:val="Normal"/>
        <w:spacing w:before="0" w:after="1080"/>
        <w:jc w:val="center"/>
        <w:rPr>
          <w:b/>
        </w:rPr>
      </w:pPr>
      <w:r>
        <w:rPr>
          <w:b/>
        </w:rPr>
      </w:r>
    </w:p>
    <w:p>
      <w:pPr>
        <w:pStyle w:val="Normal"/>
        <w:spacing w:before="0" w:after="1080"/>
        <w:jc w:val="center"/>
        <w:rPr>
          <w:b/>
        </w:rPr>
      </w:pPr>
      <w:r>
        <w:rPr>
          <w:b/>
        </w:rPr>
      </w:r>
    </w:p>
    <w:p>
      <w:pPr>
        <w:pStyle w:val="Normal"/>
        <w:spacing w:before="0" w:after="1080"/>
        <w:jc w:val="center"/>
        <w:rPr>
          <w:b/>
        </w:rPr>
      </w:pPr>
      <w:r>
        <w:rPr>
          <w:b/>
        </w:rPr>
      </w:r>
    </w:p>
    <w:tbl>
      <w:tblPr>
        <w:tblW w:w="10170" w:type="dxa"/>
        <w:jc w:val="start"/>
        <w:tblInd w:w="0" w:type="dxa"/>
        <w:tblLayout w:type="fixed"/>
        <w:tblCellMar>
          <w:top w:w="0" w:type="dxa"/>
          <w:start w:w="0" w:type="dxa"/>
          <w:bottom w:w="0" w:type="dxa"/>
          <w:end w:w="0" w:type="dxa"/>
        </w:tblCellMar>
      </w:tblPr>
      <w:tblGrid>
        <w:gridCol w:w="5130"/>
        <w:gridCol w:w="5040"/>
      </w:tblGrid>
      <w:tr>
        <w:trPr/>
        <w:tc>
          <w:tcPr>
            <w:tcW w:w="5130" w:type="dxa"/>
            <w:tcBorders/>
            <w:vAlign w:val="bottom"/>
          </w:tcPr>
          <w:p>
            <w:pPr>
              <w:pStyle w:val="Normal"/>
              <w:spacing w:before="120" w:after="0"/>
              <w:rPr/>
            </w:pPr>
            <w:r>
              <w:rPr/>
              <w:t>Date:  September 15, 2000</w:t>
            </w:r>
          </w:p>
        </w:tc>
        <w:tc>
          <w:tcPr>
            <w:tcW w:w="5040" w:type="dxa"/>
            <w:tcBorders/>
            <w:vAlign w:val="bottom"/>
          </w:tcPr>
          <w:p>
            <w:pPr>
              <w:pStyle w:val="Normal"/>
              <w:spacing w:before="0" w:after="360"/>
              <w:rPr/>
            </w:pPr>
            <w:r>
              <w:rPr/>
              <w:t>GOODIN, MACBRIDE, SQUERI,</w:t>
              <w:br/>
              <w:t>RITCHIE &amp; DAY, LLP</w:t>
            </w:r>
          </w:p>
          <w:p>
            <w:pPr>
              <w:pStyle w:val="Normal"/>
              <w:rPr/>
            </w:pPr>
            <w:r>
              <w:rPr/>
              <w:t>Michael B. Day</w:t>
            </w:r>
          </w:p>
          <w:p>
            <w:pPr>
              <w:pStyle w:val="Normal"/>
              <w:rPr/>
            </w:pPr>
            <w:r>
              <w:rPr/>
              <w:t>Jeanne M. Bennett</w:t>
            </w:r>
          </w:p>
          <w:p>
            <w:pPr>
              <w:pStyle w:val="Normal"/>
              <w:rPr/>
            </w:pPr>
            <w:r>
              <w:rPr/>
              <w:t>505 Sansome Street, Suite 900</w:t>
              <w:br/>
              <w:t>San Francisco, CA  94111</w:t>
              <w:br/>
              <w:t>Telephone:</w:t>
              <w:tab/>
              <w:t>(415) 392-7900</w:t>
              <w:br/>
              <w:t>Facsimile:</w:t>
              <w:tab/>
              <w:t>(415) 398-4321</w:t>
            </w:r>
          </w:p>
          <w:p>
            <w:pPr>
              <w:pStyle w:val="Normal"/>
              <w:spacing w:before="240" w:after="0"/>
              <w:rPr/>
            </w:pPr>
            <w:r>
              <w:rPr/>
              <w:t xml:space="preserve">Attorneys for the Alliance for Retail Markets  </w:t>
            </w:r>
          </w:p>
        </w:tc>
      </w:tr>
    </w:tbl>
    <w:p>
      <w:pPr>
        <w:sectPr>
          <w:headerReference w:type="default" r:id="rId2"/>
          <w:headerReference w:type="first" r:id="rId3"/>
          <w:footerReference w:type="default" r:id="rId4"/>
          <w:footerReference w:type="first" r:id="rId5"/>
          <w:type w:val="nextPage"/>
          <w:pgSz w:w="12240" w:h="15840"/>
          <w:pgMar w:left="1440" w:right="1440" w:gutter="0" w:header="432" w:top="1440" w:footer="360" w:bottom="1440"/>
          <w:pgNumType w:fmt="decimal"/>
          <w:formProt w:val="false"/>
          <w:titlePg/>
          <w:textDirection w:val="lrTb"/>
          <w:docGrid w:type="default" w:linePitch="360" w:charSpace="0"/>
        </w:sectPr>
      </w:pPr>
    </w:p>
    <w:p>
      <w:pPr>
        <w:pStyle w:val="Normal"/>
        <w:spacing w:before="0" w:after="720"/>
        <w:jc w:val="center"/>
        <w:rPr/>
      </w:pPr>
      <w:r>
        <w:rPr/>
        <w:t>BEFORE THE PUBLIC UTILITIES COMMISSION</w:t>
        <w:br/>
        <w:t>OF THE STATE OF CALIFORNIA</w:t>
      </w:r>
    </w:p>
    <w:tbl>
      <w:tblPr>
        <w:tblW w:w="20448" w:type="dxa"/>
        <w:jc w:val="start"/>
        <w:tblInd w:w="0" w:type="dxa"/>
        <w:tblLayout w:type="fixed"/>
        <w:tblCellMar>
          <w:top w:w="0" w:type="dxa"/>
          <w:start w:w="108" w:type="dxa"/>
          <w:bottom w:w="0" w:type="dxa"/>
          <w:end w:w="108" w:type="dxa"/>
        </w:tblCellMar>
      </w:tblPr>
      <w:tblGrid>
        <w:gridCol w:w="5508"/>
        <w:gridCol w:w="5868"/>
        <w:gridCol w:w="5688"/>
        <w:gridCol w:w="3384"/>
      </w:tblGrid>
      <w:tr>
        <w:trPr>
          <w:trHeight w:val="1611" w:hRule="atLeast"/>
        </w:trPr>
        <w:tc>
          <w:tcPr>
            <w:tcW w:w="5508" w:type="dxa"/>
            <w:tcBorders>
              <w:bottom w:val="single" w:sz="8" w:space="0" w:color="000000"/>
              <w:end w:val="single" w:sz="8" w:space="0" w:color="000000"/>
            </w:tcBorders>
          </w:tcPr>
          <w:p>
            <w:pPr>
              <w:pStyle w:val="Normal"/>
              <w:rPr/>
            </w:pPr>
            <w:r>
              <w:rPr/>
              <w:t>Order Instituting Investigation into the</w:t>
            </w:r>
          </w:p>
          <w:p>
            <w:pPr>
              <w:pStyle w:val="Normal"/>
              <w:rPr/>
            </w:pPr>
            <w:r>
              <w:rPr/>
              <w:t>Functioning of the Wholesale Electric</w:t>
            </w:r>
          </w:p>
          <w:p>
            <w:pPr>
              <w:pStyle w:val="Normal"/>
              <w:rPr/>
            </w:pPr>
            <w:r>
              <w:rPr/>
              <w:t>Market and Associated Impact on Retail</w:t>
            </w:r>
          </w:p>
          <w:p>
            <w:pPr>
              <w:pStyle w:val="Normal"/>
              <w:rPr/>
            </w:pPr>
            <w:r>
              <w:rPr/>
              <w:t xml:space="preserve">Rates </w:t>
            </w:r>
          </w:p>
          <w:p>
            <w:pPr>
              <w:pStyle w:val="Normal"/>
              <w:rPr/>
            </w:pPr>
            <w:r>
              <w:rPr/>
            </w:r>
          </w:p>
        </w:tc>
        <w:tc>
          <w:tcPr>
            <w:tcW w:w="5868" w:type="dxa"/>
            <w:tcBorders/>
          </w:tcPr>
          <w:p>
            <w:pPr>
              <w:pStyle w:val="Normal"/>
              <w:tabs>
                <w:tab w:val="clear" w:pos="720"/>
                <w:tab w:val="left" w:pos="1872" w:leader="none"/>
              </w:tabs>
              <w:snapToGrid w:val="false"/>
              <w:rPr/>
            </w:pPr>
            <w:r>
              <w:rPr/>
            </w:r>
          </w:p>
          <w:p>
            <w:pPr>
              <w:pStyle w:val="Normal"/>
              <w:tabs>
                <w:tab w:val="clear" w:pos="720"/>
                <w:tab w:val="left" w:pos="1872" w:leader="none"/>
              </w:tabs>
              <w:rPr/>
            </w:pPr>
            <w:r>
              <w:rPr/>
              <w:t xml:space="preserve">    </w:t>
            </w:r>
            <w:r>
              <w:rPr/>
              <w:t>Investigation 00-08-002</w:t>
            </w:r>
          </w:p>
          <w:p>
            <w:pPr>
              <w:pStyle w:val="Normal"/>
              <w:tabs>
                <w:tab w:val="clear" w:pos="720"/>
                <w:tab w:val="left" w:pos="1872" w:leader="none"/>
              </w:tabs>
              <w:rPr/>
            </w:pPr>
            <w:r>
              <w:rPr/>
              <w:t xml:space="preserve">         </w:t>
            </w:r>
            <w:r>
              <w:rPr/>
              <w:t>(August 3, 2000)</w:t>
            </w:r>
          </w:p>
        </w:tc>
        <w:tc>
          <w:tcPr>
            <w:tcW w:w="5688" w:type="dxa"/>
            <w:tcBorders>
              <w:bottom w:val="single" w:sz="8" w:space="0" w:color="000000"/>
            </w:tcBorders>
          </w:tcPr>
          <w:p>
            <w:pPr>
              <w:pStyle w:val="Normal"/>
              <w:spacing w:before="0" w:after="240"/>
              <w:rPr/>
            </w:pPr>
            <w:r>
              <w:rPr/>
              <w:t>.</w:t>
            </w:r>
          </w:p>
          <w:p>
            <w:pPr>
              <w:pStyle w:val="Normal"/>
              <w:rPr/>
            </w:pPr>
            <w:r>
              <w:rPr/>
            </w:r>
          </w:p>
        </w:tc>
        <w:tc>
          <w:tcPr>
            <w:tcW w:w="3384" w:type="dxa"/>
            <w:tcBorders>
              <w:bottom w:val="single" w:sz="8" w:space="0" w:color="000000"/>
              <w:end w:val="single" w:sz="8" w:space="0" w:color="000000"/>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r>
          </w:p>
        </w:tc>
      </w:tr>
    </w:tbl>
    <w:p>
      <w:pPr>
        <w:pStyle w:val="Normal"/>
        <w:jc w:val="center"/>
        <w:rPr/>
      </w:pPr>
      <w:r>
        <w:rPr/>
      </w:r>
    </w:p>
    <w:p>
      <w:pPr>
        <w:pStyle w:val="Normal"/>
        <w:numPr>
          <w:ilvl w:val="0"/>
          <w:numId w:val="0"/>
        </w:numPr>
        <w:jc w:val="center"/>
        <w:outlineLvl w:val="0"/>
        <w:rPr>
          <w:b/>
        </w:rPr>
      </w:pPr>
      <w:r>
        <w:rPr>
          <w:b/>
        </w:rPr>
        <w:t>COMMENTS OF</w:t>
      </w:r>
    </w:p>
    <w:p>
      <w:pPr>
        <w:pStyle w:val="Normal"/>
        <w:jc w:val="center"/>
        <w:rPr>
          <w:b/>
        </w:rPr>
      </w:pPr>
      <w:r>
        <w:rPr>
          <w:b/>
        </w:rPr>
        <w:t>THE ALLIANCE FOR RETAIL MARKETS</w:t>
      </w:r>
    </w:p>
    <w:p>
      <w:pPr>
        <w:pStyle w:val="Normal"/>
        <w:jc w:val="center"/>
        <w:rPr>
          <w:b/>
        </w:rPr>
      </w:pPr>
      <w:r>
        <w:rPr>
          <w:b/>
        </w:rPr>
        <w:t xml:space="preserve">IN RESPONSE TO ASSIGNED COMMISSIONER’S RULING </w:t>
      </w:r>
    </w:p>
    <w:p>
      <w:pPr>
        <w:pStyle w:val="Normal"/>
        <w:jc w:val="center"/>
        <w:rPr>
          <w:b/>
        </w:rPr>
      </w:pPr>
      <w:r>
        <w:rPr>
          <w:b/>
        </w:rPr>
      </w:r>
    </w:p>
    <w:p>
      <w:pPr>
        <w:pStyle w:val="Normal"/>
        <w:spacing w:lineRule="auto" w:line="480"/>
        <w:ind w:firstLine="720" w:end="0"/>
        <w:jc w:val="both"/>
        <w:rPr/>
      </w:pPr>
      <w:r>
        <w:rPr/>
        <w:t>In accord with the August 29, 2000 Assigned Commissioner’s Ruling (“ACR”) in the above captioned investigation, the Alliance for Retail Markets (“ARM”) provides the following response to the issues set forth therein.</w:t>
      </w:r>
    </w:p>
    <w:p>
      <w:pPr>
        <w:pStyle w:val="Normal"/>
        <w:numPr>
          <w:ilvl w:val="0"/>
          <w:numId w:val="0"/>
        </w:numPr>
        <w:spacing w:lineRule="auto" w:line="480"/>
        <w:jc w:val="center"/>
        <w:outlineLvl w:val="0"/>
        <w:rPr>
          <w:b/>
        </w:rPr>
      </w:pPr>
      <w:r>
        <w:rPr>
          <w:b/>
        </w:rPr>
        <w:t>I.</w:t>
      </w:r>
    </w:p>
    <w:p>
      <w:pPr>
        <w:pStyle w:val="Normal"/>
        <w:spacing w:lineRule="auto" w:line="480"/>
        <w:jc w:val="center"/>
        <w:rPr>
          <w:b/>
        </w:rPr>
      </w:pPr>
      <w:r>
        <w:rPr>
          <w:b/>
        </w:rPr>
        <w:t>INTRODUCTION</w:t>
      </w:r>
    </w:p>
    <w:p>
      <w:pPr>
        <w:pStyle w:val="Normal"/>
        <w:spacing w:lineRule="auto" w:line="480"/>
        <w:jc w:val="both"/>
        <w:rPr/>
      </w:pPr>
      <w:r>
        <w:rPr>
          <w:b/>
        </w:rPr>
        <w:tab/>
      </w:r>
      <w:r>
        <w:rPr/>
        <w:t xml:space="preserve">In soliciting these comments, the ACR notes that the “Commission instituted this investigation to explore the causes of </w:t>
      </w:r>
      <w:r>
        <w:rPr>
          <w:i/>
        </w:rPr>
        <w:t>high summer wholesale prices that have in turn caused increased retail electric rates</w:t>
      </w:r>
      <w:r>
        <w:rPr/>
        <w:t xml:space="preserve"> in the service area of San Diego Gas &amp; Electric Company (SDG&amp;E).”</w:t>
      </w:r>
      <w:r>
        <w:rPr>
          <w:rStyle w:val="FootnoteCharacters"/>
          <w:rStyle w:val="FootnoteReference"/>
        </w:rPr>
        <w:footnoteReference w:id="2"/>
      </w:r>
      <w:r>
        <w:rPr/>
        <w:t xml:space="preserve">  The critical importance of the direct linkage between the wholesale electric market and the retail electric market, which is acknowledged in this ACR statement, overshadows every aspect of the Commission’s investigation in this proceeding. The bottom line is that a vibrant retail market is a critical component in cushioning the impact on consumers from the volatility of the wholesale market.   The failure of legislative and regulatory policy in this state to permit such a vibrant retail market to develop is the source of this summer’s crisis in electric rates.  </w:t>
      </w:r>
      <w:r>
        <w:rPr>
          <w:u w:val="single"/>
        </w:rPr>
        <w:t>If as much energy been placed into developing a competitive and innovative retail market during the last three years of the transition in electric restructuring as was placed into creating new wholesale market institutions and accelerating the recovery of utility stranded costs, there would be no crisis of high retail rates in San Diego</w:t>
      </w:r>
      <w:r>
        <w:rPr/>
        <w:t xml:space="preserve">.  This is where California has failed.   In the absence of a competitive retail market in which retailers can earn some profit for taking part of the risk of absorbing wholesale price volatility, the regulatory framework places 100% of the risk of price volatility on ratepayers.  Indeed, it was the CPUC’s Preferred Policy Decision that obligated the utilities to purchase all of the electricity for their bundled customers from a short-term spot price wholesale market (the Power Exchange). </w:t>
      </w:r>
      <w:r>
        <w:rPr>
          <w:b/>
        </w:rPr>
        <w:t>footnote</w:t>
      </w:r>
      <w:r>
        <w:rPr/>
        <w:t xml:space="preserve">  Recent efforts to impose a portion of this risk on utility shareholders will only result in prolonged litigation, and will not protect ratepayers from this inappropriate burden.</w:t>
      </w:r>
    </w:p>
    <w:p>
      <w:pPr>
        <w:pStyle w:val="Normal"/>
        <w:spacing w:lineRule="auto" w:line="480"/>
        <w:ind w:firstLine="720" w:end="0"/>
        <w:jc w:val="both"/>
        <w:rPr/>
      </w:pPr>
      <w:r>
        <w:rPr/>
        <w:t>California, being the first state to deregulate its electric market, did not have the luxury of learning from other states’ mistakes.  Policy makers in California focused their efforts on the restructuring of the wholesale market and ensuring that the utility distribution companies recovered all of their stranded costs as they moved out of the role of being the primary supplier of electric generation.  The development of a workably competitive retail market – the market that directly impacts the consumer – was both ignored by policy makers and actively discouraged by the utilities in favor of what were considered to be overriding concerns related to stranded cost recovery and the wholesale market structure.  The result has been a retail market that has not been allowed to develop and, therefore, left consumers fully exposed to wholesale price volatility when they begin to experience soaring electric commodity costs.  A key policy failure in California’s restructuring process was the failure to recognize that retail markets, and retail marketers, perform a valuable and legitimate function which benefits retail customers as much as it benefits the retail marketers.  This fact has been observed by a number of commenters who have written about California’s electric restructuring experience.</w:t>
      </w:r>
    </w:p>
    <w:p>
      <w:pPr>
        <w:pStyle w:val="Heading4"/>
        <w:numPr>
          <w:ilvl w:val="0"/>
          <w:numId w:val="2"/>
        </w:numPr>
        <w:spacing w:lineRule="auto" w:line="480" w:before="0" w:after="0"/>
        <w:rPr>
          <w:rFonts w:ascii="Times New Roman" w:hAnsi="Times New Roman" w:cs="Times New Roman"/>
        </w:rPr>
      </w:pPr>
      <w:r>
        <w:rPr>
          <w:rFonts w:cs="Times New Roman" w:ascii="Times New Roman" w:hAnsi="Times New Roman"/>
        </w:rPr>
        <w:t xml:space="preserve">External Reactions to California’s Electric Restructuring </w:t>
      </w:r>
    </w:p>
    <w:p>
      <w:pPr>
        <w:pStyle w:val="Normal"/>
        <w:spacing w:lineRule="auto" w:line="480"/>
        <w:ind w:firstLine="720" w:end="0"/>
        <w:rPr/>
      </w:pPr>
      <w:r>
        <w:rPr/>
        <w:t>Both as a result of the size and importance of the California economy and the fact that electric deregulation progressed farther earlier in California, the unfolding saga of electric restructuring in this state has been closely scrutinized by a wide variety of interested observers.  A number of these observers have commented on particular problems in the development of the California market.  These comments can provide valuable information for policy makers seeking to avoid repeating past mistakes while correcting the flaws in the regulatory system.  ARM offers these comments as independent evidence that it is not  “California officials have needlessly inhibited the development of retail competition.”</w:t>
      </w:r>
      <w:r>
        <w:rPr>
          <w:rStyle w:val="FootnoteCharacters"/>
          <w:rStyle w:val="FootnoteReference"/>
        </w:rPr>
        <w:footnoteReference w:id="3"/>
      </w:r>
      <w:r>
        <w:rPr/>
        <w:t xml:space="preserve"> “Regulators burdened new entrants with part of the costs of  ‘stranded assets’ built by incumbents.  So these newcomers have not been able to compete effectively on price.”</w:t>
      </w:r>
      <w:r>
        <w:rPr>
          <w:rStyle w:val="FootnoteCharacters"/>
          <w:rStyle w:val="FootnoteReference"/>
        </w:rPr>
        <w:footnoteReference w:id="4"/>
      </w:r>
    </w:p>
    <w:p>
      <w:pPr>
        <w:pStyle w:val="Normal"/>
        <w:spacing w:lineRule="auto" w:line="480"/>
        <w:ind w:firstLine="720" w:end="0"/>
        <w:rPr/>
      </w:pPr>
      <w:r>
        <w:rPr/>
        <w:t>A weak retail market will exacerbate the ability of key players to pass price increases through to final consumers, magnifying the effect of wholesale market concentration.</w:t>
      </w:r>
      <w:r>
        <w:rPr>
          <w:rStyle w:val="FootnoteCharacters"/>
          <w:rStyle w:val="FootnoteReference"/>
        </w:rPr>
        <w:footnoteReference w:id="5"/>
      </w:r>
      <w:r>
        <w:rPr/>
        <w:t xml:space="preserve">  “One of the most important constructs of competitive electric markets is default service.”</w:t>
      </w:r>
      <w:r>
        <w:rPr>
          <w:rStyle w:val="FootnoteCharacters"/>
          <w:rStyle w:val="FootnoteReference"/>
        </w:rPr>
        <w:footnoteReference w:id="6"/>
      </w:r>
      <w:r>
        <w:rPr/>
        <w:t xml:space="preserve">  </w:t>
      </w:r>
      <w:r>
        <w:rPr>
          <w:b/>
        </w:rPr>
        <w:t>[Insert quotes about the demise of the UK pool upon which the California PX was based]  [Insert additional quotes about forcing the utilities to purchase in the spot market]</w:t>
      </w:r>
    </w:p>
    <w:p>
      <w:pPr>
        <w:pStyle w:val="Normal"/>
        <w:spacing w:lineRule="auto" w:line="480"/>
        <w:ind w:firstLine="720" w:end="0"/>
        <w:jc w:val="center"/>
        <w:rPr>
          <w:b/>
        </w:rPr>
      </w:pPr>
      <w:r>
        <w:rPr>
          <w:b/>
        </w:rPr>
      </w:r>
    </w:p>
    <w:p>
      <w:pPr>
        <w:pStyle w:val="Normal"/>
        <w:spacing w:lineRule="auto" w:line="480"/>
        <w:ind w:firstLine="720" w:end="0"/>
        <w:jc w:val="center"/>
        <w:rPr>
          <w:b/>
        </w:rPr>
      </w:pPr>
      <w:r>
        <w:rPr>
          <w:b/>
        </w:rPr>
      </w:r>
    </w:p>
    <w:p>
      <w:pPr>
        <w:pStyle w:val="Normal"/>
        <w:spacing w:lineRule="auto" w:line="480"/>
        <w:ind w:firstLine="720" w:end="0"/>
        <w:jc w:val="center"/>
        <w:rPr>
          <w:b/>
        </w:rPr>
      </w:pPr>
      <w:r>
        <w:rPr>
          <w:b/>
        </w:rPr>
        <w:t>II.</w:t>
      </w:r>
    </w:p>
    <w:p>
      <w:pPr>
        <w:pStyle w:val="Normal"/>
        <w:spacing w:lineRule="auto" w:line="480"/>
        <w:jc w:val="center"/>
        <w:rPr>
          <w:b/>
        </w:rPr>
      </w:pPr>
      <w:r>
        <w:rPr>
          <w:b/>
        </w:rPr>
        <w:t xml:space="preserve">MARKET STRUCTURE/ MARKET RULES </w:t>
      </w:r>
    </w:p>
    <w:p>
      <w:pPr>
        <w:pStyle w:val="Normal"/>
        <w:spacing w:lineRule="auto" w:line="480"/>
        <w:ind w:firstLine="720" w:end="0"/>
        <w:jc w:val="both"/>
        <w:rPr/>
      </w:pPr>
      <w:r>
        <w:rPr/>
        <w:t>Whether classified under the rubric “market structure” or “market rules” there are certain aspects of the retail market which currently exist in the California electric market which have exacerbated the situation currently faced by San Diegans (and which will be faced by consumers in the remainder of the state if action in not taken) – high electric commodity bills with few to no alternatives.</w:t>
      </w:r>
    </w:p>
    <w:p>
      <w:pPr>
        <w:pStyle w:val="Normal"/>
        <w:numPr>
          <w:ilvl w:val="0"/>
          <w:numId w:val="0"/>
        </w:numPr>
        <w:spacing w:lineRule="auto" w:line="480"/>
        <w:ind w:firstLine="90" w:end="0"/>
        <w:jc w:val="both"/>
        <w:outlineLvl w:val="0"/>
        <w:rPr>
          <w:b/>
        </w:rPr>
      </w:pPr>
      <w:r>
        <w:rPr>
          <w:b/>
        </w:rPr>
        <w:t>A.</w:t>
        <w:tab/>
        <w:t>Default Service – A Critical Construct of a Competitive Electric Market</w:t>
      </w:r>
    </w:p>
    <w:p>
      <w:pPr>
        <w:pStyle w:val="Normal"/>
        <w:spacing w:lineRule="auto" w:line="480"/>
        <w:ind w:firstLine="720" w:end="0"/>
        <w:jc w:val="both"/>
        <w:rPr/>
      </w:pPr>
      <w:r>
        <w:rPr/>
        <w:t xml:space="preserve">Default service is the service that electric customers receive if they do not, or cannot, choose a competitive provider of electric service.   Default service should be structured to foster vibrant retail competition, while at the same time providing a “backstop” to customers who cannot get service from a competitive provider.  Restricting default service options for customers should not be used as a means to preserve the utilities’ monopoly hold on retail customers.  </w:t>
      </w:r>
    </w:p>
    <w:p>
      <w:pPr>
        <w:pStyle w:val="Normal"/>
        <w:spacing w:lineRule="auto" w:line="480"/>
        <w:jc w:val="both"/>
        <w:rPr/>
      </w:pPr>
      <w:r>
        <w:rPr/>
        <w:t xml:space="preserve">For many years the Commission has been guided by one key principle in navigating through regulatory restructuring in the telecommunications, gas, and electric industries.  That principle is that functions which are not “natural monopolies” should be opened to competitive markets, while functions which appear to be natural monopolies should continue to be provided by regulated monopolies subject to greater scrutiny by the Commission.  </w:t>
      </w:r>
      <w:r>
        <w:rPr>
          <w:b/>
        </w:rPr>
        <w:t>[insert cites from past decisions]</w:t>
      </w:r>
      <w:r>
        <w:rPr/>
        <w:t xml:space="preserve">   It is very clear that the procurement of electricity is not a natural monopoly function any longer.  Energy service providers have been successfully procuring electricity for all classes of customers since the commencement of direct access in April 1998.   To the extent that the Commission still considers most distribution and transmission functions to be more efficiently served by a regulated monopoly, the traditional model of regulation can continue, but this should not be viewed as any sort of justification for stunting the natural development of a competitive retail electric market, including the transformation of default service into a competitive service. </w:t>
      </w:r>
    </w:p>
    <w:p>
      <w:pPr>
        <w:pStyle w:val="Normal"/>
        <w:spacing w:lineRule="auto" w:line="480"/>
        <w:ind w:firstLine="720" w:end="0"/>
        <w:jc w:val="both"/>
        <w:rPr/>
      </w:pPr>
      <w:r>
        <w:rPr/>
        <w:t>Unfortunately, the Commission has not followed its traditional division of competitive vs. regulated functions in its supervision of electric restructuring in California. While other states that have restructured their electric markets have found the issue of default service to be crucial to the successful functioning of the market and have confronted the issue head-on in separate proceedings, California has not held such a proceeding,  has allowed the UDC to “inherit the role” of default provider, and has provided little guidance on the form that such service should take.   Despite the fact that default procurement is  not a natural monopoly function, the utilities remain in control of that function, and the development of a competitive retail market has suffered accordingly, with severe consequences for retail customers during this summer’s wholesale market price spikes.</w:t>
      </w:r>
    </w:p>
    <w:p>
      <w:pPr>
        <w:pStyle w:val="Normal"/>
        <w:spacing w:lineRule="auto" w:line="480"/>
        <w:ind w:firstLine="720" w:end="0"/>
        <w:jc w:val="both"/>
        <w:rPr/>
      </w:pPr>
      <w:r>
        <w:rPr/>
        <w:t>The current undefined state of default service in California has affected San Diegans both directly and indirectly.  The default pricing mechanism in place for SDG&amp;E since July of 1999 explicitly calls for wholesale prices to be directly passed on to customers through their bills.  Imagine the different impact on consumers in San Diego this summer if this Commission had directed SDG&amp;E to offer a fixed price default service in July of 1999.    Such fixed price default services are the norm in other states with competitive markets, such as Pennsylvania and Massachusetts.  The decision to directly pass wholesale prices onto retail customers also indirectly affected San Diegans through its impact on SDG&amp;E’s procurement behavior.  Retail firms procure their wholesale supplies in ways that support their retail pricing strategy.  The Commission had approved a pricing scheme for retail default service that was based entirely on spot prices in the CalPX.  Therefore, SDG&amp;E procured all the energy required by its retail customers from the PX spot market.  Indeed, it was required to do so by Commission order.  Again, imagine how different SDG&amp;E’s procurement strategy would have been if it had been told to provide fixed price default service in July 1999.  SDG&amp;E would certainly have sought longer term fixed price contracts from the market in order to make sure that it could meet its fixed price commitments to customers.  In addition to reducing the impact of this summer’s price spikes on San Diegans, such a procurement strategy would very likely have reduced the volatility in the wholesale spot market.</w:t>
      </w:r>
    </w:p>
    <w:p>
      <w:pPr>
        <w:pStyle w:val="Normal"/>
        <w:spacing w:lineRule="auto" w:line="480"/>
        <w:ind w:firstLine="720" w:end="0"/>
        <w:jc w:val="both"/>
        <w:rPr/>
      </w:pPr>
      <w:r>
        <w:rPr/>
        <w:t xml:space="preserve">It is imperative that this Commission confront the issue of default service head on, it cannot afford to wait any longer.  ARM submits that, at a bare minimum, the following questions must be explored and resolved: </w:t>
      </w:r>
    </w:p>
    <w:p>
      <w:pPr>
        <w:pStyle w:val="Normal"/>
        <w:spacing w:lineRule="auto" w:line="480"/>
        <w:ind w:start="720" w:end="0"/>
        <w:jc w:val="both"/>
        <w:rPr/>
      </w:pPr>
      <w:r>
        <w:rPr/>
        <w:t>(1) How should default service for residential and small commercial customers be structured?</w:t>
      </w:r>
    </w:p>
    <w:p>
      <w:pPr>
        <w:pStyle w:val="Normal"/>
        <w:spacing w:lineRule="auto" w:line="480"/>
        <w:ind w:firstLine="720" w:end="0"/>
        <w:jc w:val="both"/>
        <w:rPr/>
      </w:pPr>
      <w:r>
        <w:rPr/>
        <w:t xml:space="preserve">(2) What are the policy goals of default service?  </w:t>
      </w:r>
    </w:p>
    <w:p>
      <w:pPr>
        <w:pStyle w:val="Normal"/>
        <w:spacing w:lineRule="auto" w:line="480"/>
        <w:ind w:firstLine="720" w:start="720" w:end="0"/>
        <w:jc w:val="both"/>
        <w:rPr/>
      </w:pPr>
      <w:r>
        <w:rPr/>
        <w:t>(a)  Achieving the lowest average price over time?</w:t>
      </w:r>
    </w:p>
    <w:p>
      <w:pPr>
        <w:pStyle w:val="Normal"/>
        <w:spacing w:lineRule="auto" w:line="480"/>
        <w:ind w:firstLine="720" w:start="720" w:end="0"/>
        <w:jc w:val="both"/>
        <w:rPr/>
      </w:pPr>
      <w:r>
        <w:rPr/>
        <w:t>(b)  Achieving price certainty to shield customers from wholesale price volatility?</w:t>
      </w:r>
    </w:p>
    <w:p>
      <w:pPr>
        <w:pStyle w:val="Normal"/>
        <w:spacing w:lineRule="auto" w:line="480"/>
        <w:ind w:firstLine="720" w:start="720" w:end="0"/>
        <w:jc w:val="both"/>
        <w:rPr/>
      </w:pPr>
      <w:r>
        <w:rPr/>
        <w:t>(c)  Sending real time price signals to influence demand responsiveness?</w:t>
      </w:r>
    </w:p>
    <w:p>
      <w:pPr>
        <w:pStyle w:val="Normal"/>
        <w:spacing w:lineRule="auto" w:line="480"/>
        <w:ind w:firstLine="720" w:end="0"/>
        <w:jc w:val="both"/>
        <w:rPr/>
      </w:pPr>
      <w:r>
        <w:rPr/>
        <w:t>(3) Should default service be different for different customer classes?</w:t>
      </w:r>
    </w:p>
    <w:p>
      <w:pPr>
        <w:pStyle w:val="Normal"/>
        <w:spacing w:lineRule="auto" w:line="480"/>
        <w:ind w:start="720" w:end="0"/>
        <w:jc w:val="both"/>
        <w:rPr/>
      </w:pPr>
      <w:r>
        <w:rPr/>
        <w:t>(4) Should larger industrial and commercial customers be subject to default service at all? (5) Should there be a distinction between default service and the function of provider of last resort (POLR)?</w:t>
      </w:r>
    </w:p>
    <w:p>
      <w:pPr>
        <w:pStyle w:val="Normal"/>
        <w:spacing w:lineRule="auto" w:line="480"/>
        <w:ind w:firstLine="720" w:end="0"/>
        <w:jc w:val="both"/>
        <w:rPr/>
      </w:pPr>
      <w:r>
        <w:rPr/>
        <w:t xml:space="preserve">  </w:t>
      </w:r>
      <w:r>
        <w:rPr/>
        <w:t>Once these questions are resolved, then the solution to other issues surrounding procurement obligations will fall into place more easily.</w:t>
      </w:r>
      <w:r>
        <w:rPr>
          <w:rStyle w:val="FootnoteCharacters"/>
          <w:rStyle w:val="FootnoteReference"/>
        </w:rPr>
        <w:footnoteReference w:id="7"/>
      </w:r>
      <w:r>
        <w:rPr/>
        <w:t xml:space="preserve">     </w:t>
      </w:r>
    </w:p>
    <w:p>
      <w:pPr>
        <w:pStyle w:val="Normal"/>
        <w:numPr>
          <w:ilvl w:val="0"/>
          <w:numId w:val="0"/>
        </w:numPr>
        <w:spacing w:lineRule="auto" w:line="480"/>
        <w:jc w:val="both"/>
        <w:outlineLvl w:val="0"/>
        <w:rPr>
          <w:b/>
        </w:rPr>
      </w:pPr>
      <w:r>
        <w:rPr>
          <w:b/>
        </w:rPr>
        <w:t>B.</w:t>
        <w:tab/>
        <w:t>Lack of Definition for the Role of the Utility Distribution Company</w:t>
      </w:r>
    </w:p>
    <w:p>
      <w:pPr>
        <w:pStyle w:val="Normal"/>
        <w:spacing w:lineRule="auto" w:line="480"/>
        <w:ind w:firstLine="720" w:end="0"/>
        <w:jc w:val="both"/>
        <w:rPr/>
      </w:pPr>
      <w:r>
        <w:rPr/>
        <w:t xml:space="preserve">There have been numerous occasions in which the issue of the role of the utility distribution company in the post transition period has been brought before the Commission, and each time the Commission has determined to defer the issue to another day.  </w:t>
      </w:r>
    </w:p>
    <w:p>
      <w:pPr>
        <w:pStyle w:val="Normal"/>
        <w:spacing w:lineRule="auto" w:line="480"/>
        <w:ind w:firstLine="720" w:end="0"/>
        <w:jc w:val="both"/>
        <w:rPr/>
      </w:pPr>
      <w:r>
        <w:rPr/>
        <w:t xml:space="preserve">In the Post Transition Rate Design Proceeding, ARM, among others, </w:t>
      </w:r>
      <w:r>
        <w:rPr>
          <w:b/>
        </w:rPr>
        <w:t>[cite other parties’ comments]</w:t>
      </w:r>
      <w:r>
        <w:rPr/>
        <w:t xml:space="preserve"> urged the Commission to consider a number of policy issues necessary for the effective and competitive functioning of the electric market.  Cited among the issues which ARM averred were critical for review were: (1) elimination/retention of the UDC default provider role; (b) mitigation of retail market power held by the UDCs; and (c) the reasonableness of continuing to view the UDCs’ PX purchases as de facto reasonable in the light of the PX’s expanding range of commodities and market that are becoming available to PX participants.</w:t>
      </w:r>
      <w:r>
        <w:rPr>
          <w:rStyle w:val="FootnoteCharacters"/>
          <w:rStyle w:val="FootnoteReference"/>
        </w:rPr>
        <w:footnoteReference w:id="8"/>
      </w:r>
      <w:r>
        <w:rPr/>
        <w:t xml:space="preserve">   Noting the legitimacy of ARM’s assertions, the Commission, however, still declined to include matters of market structure within the scope of the proceeding:</w:t>
      </w:r>
    </w:p>
    <w:p>
      <w:pPr>
        <w:pStyle w:val="Normal"/>
        <w:ind w:start="720" w:end="720"/>
        <w:jc w:val="both"/>
        <w:rPr/>
      </w:pPr>
      <w:r>
        <w:rPr/>
        <w:t xml:space="preserve">Although the scope of this proceeding will not include matters of market structure, the parties make a compelling case that the Commission should consider such matter soon because they are critical in the evolution of competitive procurement markets. </w:t>
      </w:r>
      <w:r>
        <w:rPr>
          <w:rStyle w:val="FootnoteCharacters"/>
          <w:rStyle w:val="FootnoteReference"/>
        </w:rPr>
        <w:footnoteReference w:id="9"/>
      </w:r>
    </w:p>
    <w:p>
      <w:pPr>
        <w:pStyle w:val="Normal"/>
        <w:ind w:start="720" w:end="720"/>
        <w:jc w:val="both"/>
        <w:rPr/>
      </w:pPr>
      <w:r>
        <w:rPr/>
        <w:t xml:space="preserve">                </w:t>
      </w:r>
    </w:p>
    <w:p>
      <w:pPr>
        <w:pStyle w:val="Normal"/>
        <w:spacing w:lineRule="auto" w:line="480"/>
        <w:ind w:firstLine="720" w:end="0"/>
        <w:jc w:val="both"/>
        <w:rPr/>
      </w:pPr>
      <w:r>
        <w:rPr/>
        <w:t xml:space="preserve">Again, in the proceeding addressing the unbundling of revenue cycle services, a number of parties </w:t>
      </w:r>
      <w:r>
        <w:rPr>
          <w:b/>
        </w:rPr>
        <w:t xml:space="preserve">[cite other parties] </w:t>
      </w:r>
      <w:r>
        <w:rPr/>
        <w:t>noted the necessity of obtaining clear direction from the Commission of the role of the utility in the procurement and distribution market after the rate freeze concludes.  Again the Commission declined to bring the issue within the scope of the proceeding, noting that it was the Commission’s intent to address that issue as part of its distributed generation proceeding.</w:t>
      </w:r>
      <w:r>
        <w:rPr>
          <w:rStyle w:val="FootnoteCharacters"/>
          <w:rStyle w:val="FootnoteReference"/>
        </w:rPr>
        <w:footnoteReference w:id="10"/>
      </w:r>
    </w:p>
    <w:p>
      <w:pPr>
        <w:pStyle w:val="Normal"/>
        <w:spacing w:lineRule="auto" w:line="480"/>
        <w:ind w:firstLine="720" w:end="0"/>
        <w:jc w:val="both"/>
        <w:rPr/>
      </w:pPr>
      <w:r>
        <w:rPr/>
        <w:t>Subsequently in a Rulemaking issued in October of 1999 in the distributed generation proceeding, the Commission took what onlookers hoped to be the first step to address the role of the UDC head on by initiating a study by the Division of Strategic Planning and the Energy Division into various issues related to distribution competition and the role of the UDC in the competitive electric retail market:</w:t>
      </w:r>
    </w:p>
    <w:p>
      <w:pPr>
        <w:pStyle w:val="Normal"/>
        <w:ind w:start="720" w:end="720"/>
        <w:jc w:val="both"/>
        <w:rPr/>
      </w:pPr>
      <w:r>
        <w:rPr/>
        <w:t>As the end of the transition period for implementing electric restructuring initiatives draws closer, it is appropriate and timely to evaluate the effects of electric restructuring to date.  In particular, we believe a focus of the merging issues related to competitive retail markets and the role of the UDC is in order.  Such an examination must carefully consider whether current policies and rules present undue barriers to competition in the retail market and to what extent customer, particularly residential and small business, are benefiting from electric restructuring policies.</w:t>
      </w:r>
      <w:r>
        <w:rPr>
          <w:rStyle w:val="FootnoteCharacters"/>
          <w:rStyle w:val="FootnoteReference"/>
        </w:rPr>
        <w:footnoteReference w:id="11"/>
      </w:r>
    </w:p>
    <w:p>
      <w:pPr>
        <w:pStyle w:val="Normal"/>
        <w:ind w:start="720" w:end="720"/>
        <w:jc w:val="both"/>
        <w:rPr/>
      </w:pPr>
      <w:r>
        <w:rPr/>
      </w:r>
    </w:p>
    <w:p>
      <w:pPr>
        <w:pStyle w:val="Normal"/>
        <w:spacing w:lineRule="auto" w:line="480"/>
        <w:ind w:firstLine="720" w:end="0"/>
        <w:jc w:val="both"/>
        <w:rPr/>
      </w:pPr>
      <w:r>
        <w:rPr/>
        <w:t>The study produced by the Staff identified several problems with the current market structure and the resulting impediments to competition.  In addition the report set forth various options for reformulating the market.  The immediate impact of the report was that it was disavowed by two of the five Commissioners who were not sitting when the study was initiated.</w:t>
      </w:r>
    </w:p>
    <w:p>
      <w:pPr>
        <w:pStyle w:val="Normal"/>
        <w:spacing w:lineRule="auto" w:line="480"/>
        <w:ind w:firstLine="720" w:end="0"/>
        <w:jc w:val="both"/>
        <w:rPr/>
      </w:pPr>
      <w:r>
        <w:rPr/>
        <w:t xml:space="preserve">The Commission is no further along in addressing the role of the UDC than it was when the markets were open to competition over two years ago.  The result has been UDCs that are, frankly, floundering, and currently the residents of San Diego are suffering the results of the Commission’s delay.  While the UDCs have been limited in their purchasing activity to PX purchases for virtually all of the transition period by the Commission-imposed mandatory buy/sell requirement, they have recently been given increasing authority to make use of bilateral contracts and hedging products. </w:t>
      </w:r>
      <w:r>
        <w:rPr>
          <w:b/>
        </w:rPr>
        <w:t>[cite recent bilateral decisions]</w:t>
      </w:r>
      <w:r>
        <w:rPr/>
        <w:t xml:space="preserve">  This increased authority, however, does not serve to clarify the UDCs’ role, but further muddies the waters.  As stated by Southern California Edison Company (“SCE”) in its prehearing conference statement in this proceeding:</w:t>
      </w:r>
    </w:p>
    <w:p>
      <w:pPr>
        <w:pStyle w:val="Normal"/>
        <w:ind w:start="720" w:end="720"/>
        <w:jc w:val="both"/>
        <w:rPr/>
      </w:pPr>
      <w:r>
        <w:rPr/>
        <w:t>In the light of the absence of reasonably precise direction from the Commission regarding the long-term role of the UDC in procuring power for the provision of default service, including the issue of cost recovery protection for UDCs making forward and long-term procurement commitments on behalf of their default service customers, SCE questions whether the Commission can fairly find that SDG&amp;E erred by continuing to procure all its power in the spot market following the end of its rate freeze.</w:t>
      </w:r>
      <w:r>
        <w:rPr>
          <w:rStyle w:val="FootnoteCharacters"/>
          <w:rStyle w:val="FootnoteReference"/>
        </w:rPr>
        <w:footnoteReference w:id="12"/>
      </w:r>
      <w:r>
        <w:rPr/>
        <w:t xml:space="preserve"> </w:t>
      </w:r>
    </w:p>
    <w:p>
      <w:pPr>
        <w:pStyle w:val="Normal"/>
        <w:ind w:start="720" w:end="720"/>
        <w:jc w:val="both"/>
        <w:rPr/>
      </w:pPr>
      <w:r>
        <w:rPr/>
      </w:r>
    </w:p>
    <w:p>
      <w:pPr>
        <w:pStyle w:val="Normal"/>
        <w:spacing w:lineRule="auto" w:line="480"/>
        <w:ind w:firstLine="720" w:end="0"/>
        <w:jc w:val="both"/>
        <w:rPr/>
      </w:pPr>
      <w:r>
        <w:rPr/>
        <w:t>The Commission’s delay in addressing the role of the UDC, coupled with its piecemeal granting of additional procurement flexibility, has created a situation in which the UDCs are caught between two potential forms of cost disallowance.  If the UDC fails to take advantage of the hedging mechanisms available to it, then its procurement activities may be deemed unreasonable.  On the flip side, however, if after entering into forward or long-term power purchases on behalf of bundled service customers, their role in procuring power for their customers change, then the UDC could be stuck with stranded costs. The bottom line is that the lack of clarity of the UDCs’ future role in procurement has reached a crisis point that the Commission can no longer fail to ignore.</w:t>
      </w:r>
    </w:p>
    <w:p>
      <w:pPr>
        <w:pStyle w:val="Normal"/>
        <w:numPr>
          <w:ilvl w:val="0"/>
          <w:numId w:val="0"/>
        </w:numPr>
        <w:spacing w:lineRule="auto" w:line="480"/>
        <w:jc w:val="both"/>
        <w:outlineLvl w:val="0"/>
        <w:rPr>
          <w:b/>
        </w:rPr>
      </w:pPr>
      <w:r>
        <w:rPr>
          <w:b/>
        </w:rPr>
        <w:t>C.</w:t>
        <w:tab/>
        <w:t>Anti-Competitive Aspects of the Retail Market Framework</w:t>
      </w:r>
    </w:p>
    <w:p>
      <w:pPr>
        <w:pStyle w:val="BodyText2"/>
        <w:rPr/>
      </w:pPr>
      <w:r>
        <w:rPr/>
        <w:tab/>
        <w:t>Not only have San Diegans been harmed by the post-transition retail rate design adopted by the Commission, when wholesale prices increased this past June, there was a shortage of financially viable retail competitors to offer electric service for those customers who sought an alternative to the volatile SDG&amp;E default rates.  This was not due to a failure of the competitive market, rather it was the result of a retail market structure designed to protect the incumbent utilities and to discourage new entrants to the market.  The following discussion details the most harmful aspects of the retail market structure.</w:t>
      </w:r>
    </w:p>
    <w:p>
      <w:pPr>
        <w:pStyle w:val="Normal"/>
        <w:numPr>
          <w:ilvl w:val="0"/>
          <w:numId w:val="0"/>
        </w:numPr>
        <w:spacing w:lineRule="auto" w:line="480"/>
        <w:jc w:val="both"/>
        <w:outlineLvl w:val="0"/>
        <w:rPr>
          <w:b/>
        </w:rPr>
      </w:pPr>
      <w:r>
        <w:rPr>
          <w:b/>
        </w:rPr>
        <w:tab/>
        <w:t>1.</w:t>
        <w:tab/>
        <w:t xml:space="preserve">Different Cost Recovery Rules for Different Types of Competitors </w:t>
      </w:r>
    </w:p>
    <w:p>
      <w:pPr>
        <w:pStyle w:val="Normal"/>
        <w:spacing w:lineRule="auto" w:line="480"/>
        <w:jc w:val="both"/>
        <w:rPr/>
      </w:pPr>
      <w:r>
        <w:rPr>
          <w:b/>
        </w:rPr>
        <w:tab/>
      </w:r>
      <w:r>
        <w:rPr/>
        <w:t xml:space="preserve">In one respect, the UDC and a new retail service provider start out on equal terms – they both have to buy the commodity in the wholesale market.  However, the means by which the UDC and the retail provider recover their costs of providing service quickly diverge.  Utilities incur “retail costs” in the form of the costs of reading meters, printing bills, providing customer service, power purchasing and scheduling activities, and associated personnel costs related to the provision of retail service, such as pensions, benefits, furniture and office space.  The UDC collects these costs through the distribution rates that </w:t>
      </w:r>
      <w:r>
        <w:rPr>
          <w:u w:val="single"/>
        </w:rPr>
        <w:t>all customers pay regardless of whether they get their retail service from the utility or from a new retail provider</w:t>
      </w:r>
      <w:r>
        <w:rPr/>
        <w:t>.  In contrast the retail provider must cover the cost of those same costs by adding a mark-up to its wholesale price of power.</w:t>
      </w:r>
    </w:p>
    <w:p>
      <w:pPr>
        <w:pStyle w:val="Normal"/>
        <w:spacing w:lineRule="auto" w:line="480"/>
        <w:ind w:firstLine="720" w:end="0"/>
        <w:jc w:val="both"/>
        <w:rPr/>
      </w:pPr>
      <w:r>
        <w:rPr/>
        <w:t xml:space="preserve"> </w:t>
      </w:r>
      <w:r>
        <w:rPr/>
        <w:t>The ability to recover their retail costs through a non-bypassable distribution rate, which even their competitors’ customers have to pay, has been a tremendous obstacle to the formation of a competitive retail market.  The cross-subsidization of the utilities’ retail activities by revenues from their monopoly service inhibits the development of the competitive market by sending incorrect price signals to consumers (i.e., the consumer believes that the cost for providing the electric commodity is solely the wholesale cost).   In addition, direct access is made more expensive because customers of ESPs must pay the UDC for retail services they do not receive.  Moreover, it establishes an inherently unfair competitive situation, in which the alternate provider must try to beat the UDC’s wholesale rate with a retail rate – it cannot be done.</w:t>
      </w:r>
    </w:p>
    <w:p>
      <w:pPr>
        <w:pStyle w:val="Normal"/>
        <w:spacing w:lineRule="auto" w:line="480"/>
        <w:ind w:firstLine="720" w:end="0"/>
        <w:jc w:val="both"/>
        <w:rPr/>
      </w:pPr>
      <w:r>
        <w:rPr/>
        <w:t>Efforts by members of ARM, first individually, and then as a coalition, to bring this issue before the Commission has met with tremendous opposition from the UDCs and very limited success.  In its first Revenue Adjustment Proceeding, the Commission stated:</w:t>
      </w:r>
    </w:p>
    <w:p>
      <w:pPr>
        <w:pStyle w:val="Normal"/>
        <w:ind w:start="720" w:end="720"/>
        <w:jc w:val="both"/>
        <w:rPr/>
      </w:pPr>
      <w:r>
        <w:rPr/>
        <w:t>The question for resolution here in whether certain utility direct and overhead costs should be recognized in the credit for the PX</w:t>
      </w:r>
      <w:r>
        <w:rPr>
          <w:rStyle w:val="FootnoteCharacters"/>
          <w:rStyle w:val="FootnoteReference"/>
        </w:rPr>
        <w:footnoteReference w:id="13"/>
      </w:r>
      <w:r>
        <w:rPr/>
        <w:t xml:space="preserve"> or be assumed solely by utility generation customers.  Failure to recognize real cost savings in the PX credit, or to require direct access customers to assume cost for which they area not responsible may compromise efforts to promote competitive markets.</w:t>
      </w:r>
      <w:r>
        <w:rPr>
          <w:rStyle w:val="FootnoteCharacters"/>
          <w:rStyle w:val="FootnoteReference"/>
        </w:rPr>
        <w:footnoteReference w:id="14"/>
      </w:r>
    </w:p>
    <w:p>
      <w:pPr>
        <w:pStyle w:val="Normal"/>
        <w:ind w:start="720" w:end="720"/>
        <w:jc w:val="both"/>
        <w:rPr/>
      </w:pPr>
      <w:r>
        <w:rPr/>
      </w:r>
    </w:p>
    <w:p>
      <w:pPr>
        <w:pStyle w:val="Normal"/>
        <w:spacing w:lineRule="auto" w:line="480"/>
        <w:ind w:firstLine="720" w:end="0"/>
        <w:jc w:val="both"/>
        <w:rPr/>
      </w:pPr>
      <w:r>
        <w:rPr/>
        <w:t>The Commission went on to acknowledge that Enron, an ARM member, had made a reasonable case that certain of the costs it identified should be in the PX cost credit. The Commission, however, stated that it did not have a sufficient record upon which to do such, and deferred the issue until the succeeding RAP proceeding.  That proceeding is currently on going, and while both a Proposed Decision and an Alternate Decision have been issued, neither of them serve to increase the PX credit to any significant degree.  In the meantime, direct access customers who no longer receive their commodity from the UDC continue to pay higher rates subsidize the UDC’s retail commodity function.</w:t>
      </w:r>
    </w:p>
    <w:p>
      <w:pPr>
        <w:pStyle w:val="Normal"/>
        <w:numPr>
          <w:ilvl w:val="0"/>
          <w:numId w:val="0"/>
        </w:numPr>
        <w:spacing w:lineRule="auto" w:line="480"/>
        <w:ind w:firstLine="720" w:end="0"/>
        <w:jc w:val="both"/>
        <w:outlineLvl w:val="0"/>
        <w:rPr>
          <w:b/>
        </w:rPr>
      </w:pPr>
      <w:r>
        <w:rPr>
          <w:b/>
        </w:rPr>
        <w:t>2.</w:t>
        <w:tab/>
        <w:t>Retail Rate Design</w:t>
      </w:r>
    </w:p>
    <w:p>
      <w:pPr>
        <w:pStyle w:val="Normal"/>
        <w:spacing w:lineRule="auto" w:line="480"/>
        <w:ind w:firstLine="720" w:end="0"/>
        <w:jc w:val="both"/>
        <w:rPr/>
      </w:pPr>
      <w:r>
        <w:rPr/>
        <w:t>The basic rate design which was put into place for the three California electric UDCs upon the implementation of restructuring was a frozen rate coupled with a residual calculation of the competition transition charge (</w:t>
      </w:r>
      <w:r>
        <w:rPr>
          <w:i/>
        </w:rPr>
        <w:t>i.e.,</w:t>
      </w:r>
      <w:r>
        <w:rPr/>
        <w:t xml:space="preserve"> stranded cost recovery component).  The use of a “floating” CTC was strongly advanced by the UDCs’ as a means to maximize recovery of their stranded costs.  By focusing on stranded cost recovery, this form of retail rate design severely hampered the ability of alternative providers in the market to compete. The floating nature of the CTC component rendered it extremely difficult for an ESP to offer residential and small commercial customers attractive fixed price rate alternatives.   Due to the combination of the fixed rate cap and the floating PX/CTC calculation, an ESP could never be sure of the level of a customer’s CTC obligation each month.  To offer a fixed price product which would meet the customer’s needs would require that the fledgling ESPs take on virtually all of the significant risk associated with PX price volatility.  During the infancy of the restructured California electric market, both ESPs and their investors and lenders found this an unacceptable risk in most cases.  Hampered in this regard, ESPs could not effectively compete with attractive rates for a large segment of the customer base.  The result, again, has been lack of choice for the consumer.  This is why the ISO’s Market Surveillance Committee has called for changing the CTC component from a residual, floating amount to a fixed amount in its September 6, 2000 report on the June price spikes.</w:t>
      </w:r>
      <w:r>
        <w:rPr>
          <w:rStyle w:val="FootnoteCharacters"/>
          <w:rStyle w:val="FootnoteReference"/>
        </w:rPr>
        <w:footnoteReference w:id="15"/>
      </w:r>
      <w:r>
        <w:rPr/>
        <w:t xml:space="preserve">  ARM concurs with the ISO’s recommendation.  It is now clear that if a fixed CTC obligation had been implemented, as it was in many other states where restructuring is underway, the increased availability of  fixed rate options for residential and small commercial consumers would have significantly blunted the impact of wholesale price spikes this summer.  Retail marketers do earn the margin they receive in retail prices—by assuming significant risk associated with wholesale market volatility.</w:t>
      </w:r>
    </w:p>
    <w:p>
      <w:pPr>
        <w:pStyle w:val="Normal"/>
        <w:numPr>
          <w:ilvl w:val="0"/>
          <w:numId w:val="0"/>
        </w:numPr>
        <w:spacing w:lineRule="auto" w:line="480"/>
        <w:jc w:val="both"/>
        <w:outlineLvl w:val="0"/>
        <w:rPr>
          <w:b/>
        </w:rPr>
      </w:pPr>
      <w:r>
        <w:rPr>
          <w:b/>
        </w:rPr>
        <w:tab/>
        <w:t>3.</w:t>
        <w:tab/>
        <w:t>Lack of Price Information</w:t>
      </w:r>
    </w:p>
    <w:p>
      <w:pPr>
        <w:pStyle w:val="Normal"/>
        <w:spacing w:lineRule="auto" w:line="480"/>
        <w:jc w:val="both"/>
        <w:rPr/>
      </w:pPr>
      <w:r>
        <w:rPr/>
        <w:tab/>
        <w:t>A fundamental component of a competitive market is information. Consumers must be provided key information about the product that they are purchasing in order to make rationale judgements.  This in not what is happening in the California electric market – a vast majority do not know the price of the product which they are purchasing, i.e., electricity, until after they receive their bill.  Moreover, if consumers were to question the UDC, about what the price of the electricity which they purchase will be for the following month, the answer they would receive would be a convoluted, formulaic, answer involving Schedule PX, PX price averages, bilateral contracts, and a multitude of other factors that will leave consumers more puzzled than before they asked the question.  This lack of basic price information inhibits the consumer from making a reasoned choice between the UDC and an alternative provider, or between using electricity or curtailing energy consumption.   Leaving aside consideration of real time pricing and metering, even simple fixed rate pricing gives more useful information to consumers than the current after-the-fact calculation.  The existing system reduces a customer’s ability to purchase energy on an informed basis, discourages a viable retain market, and denies customers the key information they need to manage their demand.   These are serious flaws which hurt customers individually and collectively.</w:t>
      </w:r>
    </w:p>
    <w:p>
      <w:pPr>
        <w:pStyle w:val="Normal"/>
        <w:spacing w:lineRule="auto" w:line="480"/>
        <w:ind w:firstLine="720" w:end="0"/>
        <w:jc w:val="both"/>
        <w:rPr/>
      </w:pPr>
      <w:r>
        <w:rPr/>
        <w:t>If the Commission truly wishes to protect consumers, or more accurately, to allow consumers to protect themselves, it must take immediate steps to remedy this situation.  Consumers will not benefit from competition until they are provided the information necessary to assess their options—and that means public disclosure of all of the components of the UDC’s retail commodity price, whether it be PX prices or bilateral contracts.  ARM notes that both in approving limited bilateral contracting authority for PG&amp;E and SCE, and in the two alternative proposed decisions granting similar authority to SDG&amp;E, the Commission requires that the price of the bilateral contracts be disclosed only to the Commission.</w:t>
      </w:r>
      <w:r>
        <w:rPr>
          <w:rStyle w:val="FootnoteCharacters"/>
          <w:rStyle w:val="FootnoteReference"/>
        </w:rPr>
        <w:footnoteReference w:id="16"/>
      </w:r>
      <w:r>
        <w:rPr/>
        <w:t xml:space="preserve">  Such a limited disclosure may assist the Commission in evaluating the reasonableness of utility contracting, but it will not help a single consumer decide whether the utility procurement strategy is more or less expensive that other alternatives available in the market.   The Commission’s goal should be to allow consumers to attempt to conduct their own </w:t>
        <w:br/>
        <w:t xml:space="preserve">“reasonableness review” of utility procurement in advance, not to hide prices from consumers and then second guess the utility after consumers have paid too much.      </w:t>
      </w:r>
    </w:p>
    <w:p>
      <w:pPr>
        <w:pStyle w:val="Normal"/>
        <w:numPr>
          <w:ilvl w:val="0"/>
          <w:numId w:val="0"/>
        </w:numPr>
        <w:spacing w:lineRule="auto" w:line="480"/>
        <w:ind w:firstLine="720" w:end="0"/>
        <w:jc w:val="both"/>
        <w:outlineLvl w:val="0"/>
        <w:rPr>
          <w:b/>
        </w:rPr>
      </w:pPr>
      <w:r>
        <w:rPr>
          <w:b/>
        </w:rPr>
        <w:t xml:space="preserve">4. </w:t>
        <w:tab/>
        <w:t>Control of Market Entry By One Competitor</w:t>
      </w:r>
    </w:p>
    <w:p>
      <w:pPr>
        <w:pStyle w:val="Normal"/>
        <w:spacing w:lineRule="auto" w:line="480"/>
        <w:ind w:firstLine="720" w:end="0"/>
        <w:jc w:val="both"/>
        <w:rPr/>
      </w:pPr>
      <w:r>
        <w:rPr/>
        <w:t xml:space="preserve">Currently the UDCs are allowed to compete against alternative providers for the provision of the electric commodity and related metering and billing services, while also maintaining their role as sole providers of the regulated distribution function.  At the same time,  market rules require that in order for an ESP to sign up and service a customer who is currently receiving its commodity service from a UDC, it must “go through” that UDC.  Specifically, a direct access service request must be submitted to the UDC in question for processing and implementation of the change.  Now the UDC’s are proposing a host of direct access service fees which will not be charged to bundled service customers.  Given the existing unfair imposition of UDC retail costs on direct access customers through distribution rates, adding such service fees will only serve to further discourage direct access and the retail market.  Moreover, one of the primary resources for a customer to receive information about an alternate provider in the market is through the UDC call center.  Stated in simplistic terms, one competitor controls the bottleneck through which all other competitors must reach the market.  Such a market structure produces inherent conflicts of interest which can result in processing delays, misinformation and the thwarting of competition, </w:t>
      </w:r>
      <w:r>
        <w:rPr>
          <w:u w:val="single"/>
        </w:rPr>
        <w:t>even if all parties are well intentioned.</w:t>
      </w:r>
      <w:r>
        <w:rPr/>
        <w:t xml:space="preserve">  The direct access service fee case demonstrates that the utilities are actively exercising their control over the direct access bottleneck to make retail competition more difficult. </w:t>
      </w:r>
    </w:p>
    <w:p>
      <w:pPr>
        <w:pStyle w:val="Normal"/>
        <w:spacing w:lineRule="auto" w:line="480"/>
        <w:jc w:val="both"/>
        <w:rPr>
          <w:b/>
        </w:rPr>
      </w:pPr>
      <w:r>
        <w:rPr>
          <w:b/>
        </w:rPr>
        <w:t>III.</w:t>
        <w:tab/>
        <w:t xml:space="preserve">Conclusion </w:t>
      </w:r>
    </w:p>
    <w:p>
      <w:pPr>
        <w:pStyle w:val="Normal"/>
        <w:spacing w:lineRule="auto" w:line="480"/>
        <w:ind w:firstLine="720" w:end="0"/>
        <w:jc w:val="both"/>
        <w:rPr/>
      </w:pPr>
      <w:r>
        <w:rPr/>
        <w:t xml:space="preserve">There is irrefutable evidence that California has created market rules and structures which have not served it well in the transition from a fully regulated electric utility market to what was intended to be a vibrant competitive market in which all consumers would reap the primary benefit of competition  -- the opportunity to make their own decisions to optimize their electric service, and the opportunity to benefit from innovation in energy products and services as well as from price competition.  However, all is not lost.  It is possible to remedy the defects in the current retail market structure before the end of the rate freeze periods for PG&amp;E and SCE.   It is imperative that the Commission and the Legislature recognize this fact.  But it is also important to recognize that the Commission must not delay any longer in addressing the retail market issues it has repeatedly deferred.  California has one foot on the dock and one foot in the rowboat.  It is time to act.  In recent decisions </w:t>
      </w:r>
      <w:r>
        <w:rPr>
          <w:b/>
        </w:rPr>
        <w:t>[cite CPUC/EOB report to Gov?]</w:t>
      </w:r>
      <w:r>
        <w:rPr/>
        <w:t xml:space="preserve"> the Commission indicated that attempting to undo the creation of a competitive energy market would be an unacceptable and harmful course.  The only reasonable course for the Commission is to complete the task of creating a workably competitive market in California.  ARM, and many other observers, contend that correcting the flaws in the current structure which discourage a retail market which will benefit consumers is the most important single step the Commission could take to achieve its goal. </w:t>
      </w:r>
    </w:p>
    <w:p>
      <w:pPr>
        <w:pStyle w:val="Normal"/>
        <w:spacing w:lineRule="auto" w:line="480"/>
        <w:ind w:firstLine="720" w:end="0"/>
        <w:jc w:val="both"/>
        <w:rPr/>
      </w:pPr>
      <w:r>
        <w:rPr/>
      </w:r>
    </w:p>
    <w:p>
      <w:pPr>
        <w:pStyle w:val="Normal"/>
        <w:tabs>
          <w:tab w:val="clear" w:pos="720"/>
          <w:tab w:val="left" w:pos="-720" w:leader="none"/>
        </w:tabs>
        <w:suppressAutoHyphens w:val="true"/>
        <w:spacing w:lineRule="auto" w:line="480"/>
        <w:jc w:val="both"/>
        <w:rPr>
          <w:spacing w:val="-3"/>
        </w:rPr>
      </w:pPr>
      <w:r>
        <w:rPr>
          <w:spacing w:val="-3"/>
        </w:rPr>
        <w:tab/>
        <w:tab/>
        <w:tab/>
        <w:tab/>
        <w:tab/>
        <w:tab/>
        <w:tab/>
        <w:t>Respectfully submitted,</w:t>
      </w:r>
    </w:p>
    <w:p>
      <w:pPr>
        <w:pStyle w:val="Normal"/>
        <w:tabs>
          <w:tab w:val="clear" w:pos="720"/>
          <w:tab w:val="left" w:pos="-720" w:leader="none"/>
        </w:tabs>
        <w:suppressAutoHyphens w:val="true"/>
        <w:jc w:val="both"/>
        <w:rPr>
          <w:spacing w:val="-3"/>
        </w:rPr>
      </w:pPr>
      <w:r>
        <w:rPr>
          <w:spacing w:val="-3"/>
        </w:rPr>
        <w:tab/>
        <w:tab/>
        <w:tab/>
        <w:tab/>
        <w:tab/>
        <w:tab/>
        <w:tab/>
        <w:t>GOODIN, MACBRIDE, SQUERI,</w:t>
      </w:r>
    </w:p>
    <w:p>
      <w:pPr>
        <w:pStyle w:val="Normal"/>
        <w:tabs>
          <w:tab w:val="clear" w:pos="720"/>
          <w:tab w:val="left" w:pos="-720" w:leader="none"/>
        </w:tabs>
        <w:suppressAutoHyphens w:val="true"/>
        <w:jc w:val="both"/>
        <w:rPr>
          <w:spacing w:val="-3"/>
        </w:rPr>
      </w:pPr>
      <w:r>
        <w:rPr>
          <w:spacing w:val="-3"/>
        </w:rPr>
        <w:tab/>
        <w:tab/>
        <w:tab/>
        <w:tab/>
        <w:tab/>
        <w:tab/>
        <w:tab/>
        <w:t>RITCHIE &amp; DAY, LLP</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numPr>
          <w:ilvl w:val="0"/>
          <w:numId w:val="0"/>
        </w:numPr>
        <w:tabs>
          <w:tab w:val="clear" w:pos="720"/>
          <w:tab w:val="left" w:pos="-720" w:leader="none"/>
        </w:tabs>
        <w:suppressAutoHyphens w:val="true"/>
        <w:jc w:val="both"/>
        <w:outlineLvl w:val="0"/>
        <w:rPr>
          <w:spacing w:val="-3"/>
        </w:rPr>
      </w:pPr>
      <w:r>
        <w:rPr>
          <w:spacing w:val="-3"/>
        </w:rPr>
        <w:tab/>
        <w:tab/>
        <w:tab/>
        <w:tab/>
        <w:tab/>
        <w:tab/>
        <w:tab/>
        <w:t>By_______________________</w:t>
      </w:r>
    </w:p>
    <w:p>
      <w:pPr>
        <w:pStyle w:val="Normal"/>
        <w:tabs>
          <w:tab w:val="clear" w:pos="720"/>
          <w:tab w:val="left" w:pos="-720" w:leader="none"/>
        </w:tabs>
        <w:suppressAutoHyphens w:val="true"/>
        <w:jc w:val="both"/>
        <w:rPr>
          <w:spacing w:val="-3"/>
        </w:rPr>
      </w:pPr>
      <w:r>
        <w:rPr>
          <w:spacing w:val="-3"/>
        </w:rPr>
        <w:tab/>
        <w:tab/>
        <w:tab/>
        <w:tab/>
        <w:tab/>
        <w:tab/>
        <w:tab/>
        <w:t xml:space="preserve">     Michael B. Day </w:t>
      </w:r>
    </w:p>
    <w:p>
      <w:pPr>
        <w:pStyle w:val="Normal"/>
        <w:tabs>
          <w:tab w:val="clear" w:pos="720"/>
          <w:tab w:val="left" w:pos="-720" w:leader="none"/>
        </w:tabs>
        <w:suppressAutoHyphens w:val="true"/>
        <w:jc w:val="both"/>
        <w:rPr>
          <w:spacing w:val="-3"/>
        </w:rPr>
      </w:pPr>
      <w:r>
        <w:rPr>
          <w:spacing w:val="-3"/>
        </w:rPr>
        <w:tab/>
        <w:tab/>
        <w:tab/>
        <w:tab/>
        <w:tab/>
        <w:tab/>
        <w:tab/>
        <w:t xml:space="preserve">     Jeanne M. Bennett</w:t>
      </w:r>
    </w:p>
    <w:p>
      <w:pPr>
        <w:pStyle w:val="Normal"/>
        <w:tabs>
          <w:tab w:val="clear" w:pos="720"/>
          <w:tab w:val="left" w:pos="-720" w:leader="none"/>
        </w:tabs>
        <w:suppressAutoHyphens w:val="true"/>
        <w:jc w:val="both"/>
        <w:rPr>
          <w:spacing w:val="-3"/>
        </w:rPr>
      </w:pPr>
      <w:r>
        <w:rPr>
          <w:spacing w:val="-3"/>
        </w:rPr>
      </w:r>
    </w:p>
    <w:p>
      <w:pPr>
        <w:pStyle w:val="Normal"/>
        <w:numPr>
          <w:ilvl w:val="0"/>
          <w:numId w:val="0"/>
        </w:numPr>
        <w:tabs>
          <w:tab w:val="clear" w:pos="720"/>
          <w:tab w:val="left" w:pos="-720" w:leader="none"/>
        </w:tabs>
        <w:suppressAutoHyphens w:val="true"/>
        <w:jc w:val="both"/>
        <w:outlineLvl w:val="0"/>
        <w:rPr>
          <w:spacing w:val="-3"/>
        </w:rPr>
      </w:pPr>
      <w:r>
        <w:rPr>
          <w:spacing w:val="-3"/>
        </w:rPr>
        <w:tab/>
        <w:tab/>
        <w:tab/>
        <w:tab/>
        <w:tab/>
        <w:tab/>
        <w:tab/>
        <w:t>505 Sansome Street, Suite 900</w:t>
      </w:r>
    </w:p>
    <w:p>
      <w:pPr>
        <w:pStyle w:val="Normal"/>
        <w:tabs>
          <w:tab w:val="clear" w:pos="720"/>
          <w:tab w:val="left" w:pos="-720" w:leader="none"/>
        </w:tabs>
        <w:suppressAutoHyphens w:val="true"/>
        <w:jc w:val="both"/>
        <w:rPr>
          <w:spacing w:val="-3"/>
        </w:rPr>
      </w:pPr>
      <w:r>
        <w:rPr>
          <w:spacing w:val="-3"/>
        </w:rPr>
        <w:tab/>
        <w:tab/>
        <w:tab/>
        <w:tab/>
        <w:tab/>
        <w:tab/>
        <w:tab/>
        <w:t>San Francisco, CA 94111</w:t>
      </w:r>
    </w:p>
    <w:p>
      <w:pPr>
        <w:pStyle w:val="Normal"/>
        <w:tabs>
          <w:tab w:val="clear" w:pos="720"/>
          <w:tab w:val="left" w:pos="-720" w:leader="none"/>
        </w:tabs>
        <w:suppressAutoHyphens w:val="true"/>
        <w:jc w:val="both"/>
        <w:rPr>
          <w:spacing w:val="-3"/>
        </w:rPr>
      </w:pPr>
      <w:r>
        <w:rPr>
          <w:spacing w:val="-3"/>
        </w:rPr>
        <w:tab/>
        <w:tab/>
        <w:tab/>
        <w:tab/>
        <w:tab/>
        <w:tab/>
        <w:tab/>
        <w:t>Telephone: (415) 392-7900</w:t>
      </w:r>
    </w:p>
    <w:p>
      <w:pPr>
        <w:pStyle w:val="Normal"/>
        <w:tabs>
          <w:tab w:val="clear" w:pos="720"/>
          <w:tab w:val="left" w:pos="-720" w:leader="none"/>
        </w:tabs>
        <w:suppressAutoHyphens w:val="true"/>
        <w:jc w:val="both"/>
        <w:rPr>
          <w:spacing w:val="-3"/>
        </w:rPr>
      </w:pPr>
      <w:r>
        <w:rPr>
          <w:spacing w:val="-3"/>
        </w:rPr>
        <w:tab/>
        <w:tab/>
        <w:tab/>
        <w:tab/>
        <w:tab/>
        <w:tab/>
        <w:tab/>
        <w:t>Facsimile: (415) 398-4321</w:t>
      </w:r>
    </w:p>
    <w:p>
      <w:pPr>
        <w:pStyle w:val="Normal"/>
        <w:tabs>
          <w:tab w:val="clear" w:pos="720"/>
          <w:tab w:val="left" w:pos="-720" w:leader="none"/>
        </w:tabs>
        <w:suppressAutoHyphens w:val="true"/>
        <w:jc w:val="both"/>
        <w:rPr>
          <w:spacing w:val="-3"/>
        </w:rPr>
      </w:pPr>
      <w:r>
        <w:rPr>
          <w:spacing w:val="-3"/>
        </w:rPr>
      </w:r>
    </w:p>
    <w:p>
      <w:pPr>
        <w:pStyle w:val="Normal"/>
        <w:numPr>
          <w:ilvl w:val="0"/>
          <w:numId w:val="0"/>
        </w:numPr>
        <w:tabs>
          <w:tab w:val="clear" w:pos="720"/>
          <w:tab w:val="left" w:pos="-720" w:leader="none"/>
        </w:tabs>
        <w:suppressAutoHyphens w:val="true"/>
        <w:jc w:val="both"/>
        <w:outlineLvl w:val="0"/>
        <w:rPr>
          <w:spacing w:val="-3"/>
        </w:rPr>
      </w:pPr>
      <w:r>
        <w:rPr>
          <w:spacing w:val="-3"/>
        </w:rPr>
        <w:tab/>
        <w:tab/>
        <w:tab/>
        <w:tab/>
        <w:tab/>
        <w:tab/>
        <w:tab/>
        <w:t>Attorneys for the</w:t>
      </w:r>
    </w:p>
    <w:p>
      <w:pPr>
        <w:pStyle w:val="Normal"/>
        <w:tabs>
          <w:tab w:val="clear" w:pos="720"/>
          <w:tab w:val="left" w:pos="-720" w:leader="none"/>
        </w:tabs>
        <w:suppressAutoHyphens w:val="true"/>
        <w:jc w:val="both"/>
        <w:rPr>
          <w:spacing w:val="-3"/>
        </w:rPr>
      </w:pPr>
      <w:r>
        <w:rPr>
          <w:spacing w:val="-3"/>
        </w:rPr>
        <w:tab/>
        <w:tab/>
        <w:tab/>
        <w:tab/>
        <w:tab/>
        <w:tab/>
        <w:tab/>
        <w:t>Alliance for Retail Markets</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spacing w:lineRule="auto" w:line="480"/>
        <w:ind w:firstLine="720" w:end="0"/>
        <w:jc w:val="both"/>
        <w:rPr>
          <w:spacing w:val="-3"/>
        </w:rPr>
      </w:pPr>
      <w:r>
        <w:rPr>
          <w:spacing w:val="-3"/>
        </w:rPr>
        <w:t>September 8, 2000</w:t>
      </w:r>
    </w:p>
    <w:p>
      <w:pPr>
        <w:pStyle w:val="Normal"/>
        <w:spacing w:lineRule="auto" w:line="480"/>
        <w:ind w:firstLine="720" w:end="0"/>
        <w:jc w:val="both"/>
        <w:rPr/>
      </w:pPr>
      <w:r>
        <w:rPr/>
      </w:r>
    </w:p>
    <w:p>
      <w:pPr>
        <w:pStyle w:val="Normal"/>
        <w:spacing w:lineRule="auto" w:line="480"/>
        <w:ind w:firstLine="720" w:end="0"/>
        <w:jc w:val="both"/>
        <w:rPr/>
      </w:pPr>
      <w:r>
        <w:rPr/>
      </w:r>
    </w:p>
    <w:p>
      <w:pPr>
        <w:pStyle w:val="Normal"/>
        <w:spacing w:lineRule="auto" w:line="480"/>
        <w:ind w:firstLine="720" w:end="0"/>
        <w:jc w:val="both"/>
        <w:rPr/>
      </w:pPr>
      <w:r>
        <w:rPr/>
      </w:r>
    </w:p>
    <w:p>
      <w:pPr>
        <w:pStyle w:val="Normal"/>
        <w:spacing w:lineRule="exact" w:line="200" w:before="240" w:after="0"/>
        <w:rPr/>
      </w:pPr>
      <w:r>
        <w:rPr>
          <w:rStyle w:val="zzmpTrailerItem"/>
        </w:rPr>
        <w:t>2704/143/X16522-1</w:t>
      </w:r>
      <w:r>
        <w:rPr/>
        <w:t xml:space="preserve"> </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1530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jc w:val="both"/>
        <w:rPr/>
      </w:pPr>
      <w:r>
        <w:rPr>
          <w:rStyle w:val="FootnoteCharacters"/>
        </w:rPr>
        <w:footnoteRef/>
      </w:r>
      <w:r>
        <w:rPr/>
        <w:t xml:space="preserve"> </w:t>
      </w:r>
      <w:r>
        <w:rPr/>
        <w:tab/>
        <w:t xml:space="preserve">“Assigned Commissioner’s Ruling Providing for Comments on Certain Wholesale Market Issues,” I. 00-08-002 (August 29, 2000). </w:t>
      </w:r>
    </w:p>
  </w:footnote>
  <w:footnote w:id="3">
    <w:p>
      <w:pPr>
        <w:pStyle w:val="FootnoteText"/>
        <w:spacing w:before="0" w:after="240"/>
        <w:ind w:hanging="720" w:start="720" w:end="0"/>
        <w:jc w:val="both"/>
        <w:rPr/>
      </w:pPr>
      <w:r>
        <w:rPr>
          <w:rStyle w:val="FootnoteCharacters"/>
        </w:rPr>
        <w:footnoteRef/>
      </w:r>
      <w:r>
        <w:rPr/>
        <w:t xml:space="preserve"> </w:t>
      </w:r>
      <w:r>
        <w:rPr/>
        <w:tab/>
        <w:t>“A Shocking Backlash”, The Economist (U.S. Edition) August 26, 2000.</w:t>
      </w:r>
    </w:p>
  </w:footnote>
  <w:footnote w:id="4">
    <w:p>
      <w:pPr>
        <w:pStyle w:val="FootnoteText"/>
        <w:spacing w:before="0" w:after="240"/>
        <w:ind w:hanging="720" w:start="720" w:end="0"/>
        <w:jc w:val="both"/>
        <w:rPr/>
      </w:pPr>
      <w:r>
        <w:rPr>
          <w:rStyle w:val="FootnoteCharacters"/>
        </w:rPr>
        <w:footnoteRef/>
      </w:r>
      <w:r>
        <w:rPr/>
        <w:t xml:space="preserve"> </w:t>
      </w:r>
      <w:r>
        <w:rPr/>
        <w:tab/>
      </w:r>
      <w:r>
        <w:rPr>
          <w:u w:val="single"/>
        </w:rPr>
        <w:t>Id</w:t>
      </w:r>
      <w:r>
        <w:rPr/>
        <w:t>.</w:t>
      </w:r>
    </w:p>
  </w:footnote>
  <w:footnote w:id="5">
    <w:p>
      <w:pPr>
        <w:pStyle w:val="FootnoteText"/>
        <w:spacing w:before="0" w:after="240"/>
        <w:ind w:hanging="720" w:start="720" w:end="0"/>
        <w:jc w:val="both"/>
        <w:rPr/>
      </w:pPr>
      <w:r>
        <w:rPr>
          <w:rStyle w:val="FootnoteCharacters"/>
        </w:rPr>
        <w:footnoteRef/>
      </w:r>
      <w:r>
        <w:rPr/>
        <w:t xml:space="preserve"> </w:t>
      </w:r>
      <w:r>
        <w:rPr/>
        <w:tab/>
        <w:t>“Briefing Note: Necessity of Vibrant Retail Electricity Markets for Assuring that Wholesale Power Markets Operated Effectively”, London Economics, prepared for Green Mountain Energy, June 30, 1999.</w:t>
      </w:r>
    </w:p>
  </w:footnote>
  <w:footnote w:id="6">
    <w:p>
      <w:pPr>
        <w:pStyle w:val="FootnoteText"/>
        <w:spacing w:before="0" w:after="240"/>
        <w:ind w:hanging="720" w:start="720" w:end="0"/>
        <w:jc w:val="both"/>
        <w:rPr/>
      </w:pPr>
      <w:r>
        <w:rPr>
          <w:rStyle w:val="FootnoteCharacters"/>
        </w:rPr>
        <w:footnoteRef/>
      </w:r>
      <w:r>
        <w:rPr/>
        <w:t xml:space="preserve"> </w:t>
      </w:r>
      <w:r>
        <w:rPr/>
        <w:tab/>
        <w:t>“Designing Competitive Electric Markets:  the Importance of Default Service and its Pricing”, Taff Tschamler, Electricity Journal, March, 2000.</w:t>
      </w:r>
    </w:p>
  </w:footnote>
  <w:footnote w:id="7">
    <w:p>
      <w:pPr>
        <w:pStyle w:val="FootnoteText"/>
        <w:spacing w:before="0" w:after="240"/>
        <w:ind w:hanging="720" w:start="720" w:end="0"/>
        <w:jc w:val="both"/>
        <w:rPr/>
      </w:pPr>
      <w:r>
        <w:rPr>
          <w:rStyle w:val="FootnoteCharacters"/>
        </w:rPr>
        <w:footnoteRef/>
      </w:r>
      <w:r>
        <w:rPr/>
        <w:t xml:space="preserve"> </w:t>
      </w:r>
      <w:r>
        <w:rPr/>
        <w:tab/>
        <w:t>For example, if the primary goal of default service is rate stability, then procurement strategy would tend toward long term, low risk, contracts.</w:t>
      </w:r>
    </w:p>
  </w:footnote>
  <w:footnote w:id="8">
    <w:p>
      <w:pPr>
        <w:pStyle w:val="FootnoteText"/>
        <w:spacing w:before="0" w:after="240"/>
        <w:ind w:hanging="720" w:start="720" w:end="0"/>
        <w:jc w:val="both"/>
        <w:rPr/>
      </w:pPr>
      <w:r>
        <w:rPr>
          <w:rStyle w:val="FootnoteCharacters"/>
        </w:rPr>
        <w:footnoteRef/>
      </w:r>
      <w:r>
        <w:rPr/>
        <w:t xml:space="preserve"> </w:t>
      </w:r>
      <w:r>
        <w:rPr/>
        <w:tab/>
        <w:t xml:space="preserve">“Protest and Prehearing conference Statement of the Alliance for Retail Markets on UDCs’ ‘Post-Rate Freeze Ratemaking’ Applications,” A. 99-01-016, </w:t>
      </w:r>
      <w:r>
        <w:rPr>
          <w:i/>
        </w:rPr>
        <w:t>et al.</w:t>
      </w:r>
      <w:r>
        <w:rPr/>
        <w:t xml:space="preserve"> (February 16, 1999), at pp. 6-7. </w:t>
      </w:r>
    </w:p>
  </w:footnote>
  <w:footnote w:id="9">
    <w:p>
      <w:pPr>
        <w:pStyle w:val="FootnoteText"/>
        <w:spacing w:before="0" w:after="240"/>
        <w:ind w:hanging="720" w:start="720" w:end="0"/>
        <w:jc w:val="both"/>
        <w:rPr/>
      </w:pPr>
      <w:r>
        <w:rPr>
          <w:rStyle w:val="FootnoteCharacters"/>
        </w:rPr>
        <w:footnoteRef/>
      </w:r>
      <w:r>
        <w:rPr/>
        <w:t xml:space="preserve"> </w:t>
      </w:r>
      <w:r>
        <w:rPr/>
        <w:tab/>
        <w:t xml:space="preserve">“Scoping Memo and Ruling of Assigned Commissioner,” A. 99-01-016, </w:t>
      </w:r>
      <w:r>
        <w:rPr>
          <w:i/>
        </w:rPr>
        <w:t>et al</w:t>
      </w:r>
      <w:r>
        <w:rPr/>
        <w:t xml:space="preserve"> (March 11, 1999) at pp. 5-6.</w:t>
      </w:r>
    </w:p>
  </w:footnote>
  <w:footnote w:id="10">
    <w:p>
      <w:pPr>
        <w:pStyle w:val="FootnoteText"/>
        <w:spacing w:before="0" w:after="240"/>
        <w:ind w:hanging="720" w:start="720" w:end="0"/>
        <w:jc w:val="both"/>
        <w:rPr/>
      </w:pPr>
      <w:r>
        <w:rPr>
          <w:rStyle w:val="FootnoteCharacters"/>
        </w:rPr>
        <w:footnoteRef/>
      </w:r>
      <w:r>
        <w:rPr/>
        <w:t xml:space="preserve"> </w:t>
      </w:r>
      <w:r>
        <w:rPr/>
        <w:tab/>
        <w:t xml:space="preserve">“Scoping Memo and Ruling of Assigned Commissioner and Administrative Law Judge,” A. 99-03-013, </w:t>
      </w:r>
      <w:r>
        <w:rPr>
          <w:i/>
        </w:rPr>
        <w:t>et al</w:t>
      </w:r>
      <w:r>
        <w:rPr/>
        <w:t>. (May 25, 1999), at p 3.</w:t>
      </w:r>
    </w:p>
  </w:footnote>
  <w:footnote w:id="11">
    <w:p>
      <w:pPr>
        <w:pStyle w:val="FootnoteText"/>
        <w:spacing w:before="0" w:after="240"/>
        <w:ind w:hanging="720" w:start="720" w:end="0"/>
        <w:jc w:val="both"/>
        <w:rPr/>
      </w:pPr>
      <w:r>
        <w:rPr>
          <w:rStyle w:val="FootnoteCharacters"/>
        </w:rPr>
        <w:footnoteRef/>
      </w:r>
      <w:r>
        <w:rPr/>
        <w:t xml:space="preserve"> </w:t>
      </w:r>
      <w:r>
        <w:rPr/>
        <w:tab/>
        <w:t xml:space="preserve">Decision 99-10-065, </w:t>
      </w:r>
      <w:r>
        <w:rPr>
          <w:i/>
        </w:rPr>
        <w:t>mimeo</w:t>
      </w:r>
      <w:r>
        <w:rPr/>
        <w:t>, p. 91.</w:t>
      </w:r>
    </w:p>
  </w:footnote>
  <w:footnote w:id="12">
    <w:p>
      <w:pPr>
        <w:pStyle w:val="FootnoteText"/>
        <w:spacing w:before="0" w:after="240"/>
        <w:ind w:hanging="720" w:start="720" w:end="0"/>
        <w:jc w:val="both"/>
        <w:rPr/>
      </w:pPr>
      <w:r>
        <w:rPr>
          <w:rStyle w:val="FootnoteCharacters"/>
        </w:rPr>
        <w:footnoteRef/>
      </w:r>
      <w:r>
        <w:rPr/>
        <w:t xml:space="preserve"> </w:t>
      </w:r>
      <w:r>
        <w:rPr/>
        <w:tab/>
        <w:t>Prehearing Conference Statement of Southern California Edison Company, I. 00-08-002 (August 14, 2000) at p. 9.</w:t>
      </w:r>
    </w:p>
  </w:footnote>
  <w:footnote w:id="13">
    <w:p>
      <w:pPr>
        <w:pStyle w:val="FootnoteText"/>
        <w:spacing w:before="0" w:after="240"/>
        <w:ind w:hanging="720" w:start="720" w:end="0"/>
        <w:jc w:val="both"/>
        <w:rPr/>
      </w:pPr>
      <w:r>
        <w:rPr>
          <w:rStyle w:val="FootnoteCharacters"/>
        </w:rPr>
        <w:footnoteRef/>
      </w:r>
      <w:r>
        <w:rPr/>
        <w:t xml:space="preserve"> </w:t>
      </w:r>
      <w:r>
        <w:rPr/>
        <w:tab/>
        <w:t xml:space="preserve">The PX credit is the credit on direct access customers’ bills reflecting a credit to their total charges from the UDC at the frozen rate for the wholesale cost of electricity.   </w:t>
      </w:r>
    </w:p>
  </w:footnote>
  <w:footnote w:id="14">
    <w:p>
      <w:pPr>
        <w:pStyle w:val="FootnoteText"/>
        <w:spacing w:before="0" w:after="240"/>
        <w:ind w:hanging="720" w:start="720" w:end="0"/>
        <w:jc w:val="both"/>
        <w:rPr/>
      </w:pPr>
      <w:r>
        <w:rPr>
          <w:rStyle w:val="FootnoteCharacters"/>
        </w:rPr>
        <w:footnoteRef/>
      </w:r>
      <w:r>
        <w:rPr/>
        <w:t xml:space="preserve"> </w:t>
      </w:r>
      <w:r>
        <w:rPr/>
        <w:tab/>
        <w:t xml:space="preserve">Decision 99-06-058, </w:t>
      </w:r>
      <w:r>
        <w:rPr>
          <w:i/>
        </w:rPr>
        <w:t>mimeo</w:t>
      </w:r>
      <w:r>
        <w:rPr/>
        <w:t xml:space="preserve">, p. 23. </w:t>
      </w:r>
    </w:p>
  </w:footnote>
  <w:footnote w:id="15">
    <w:p>
      <w:pPr>
        <w:pStyle w:val="FootnoteText"/>
        <w:spacing w:before="0" w:after="240"/>
        <w:ind w:hanging="720" w:start="720" w:end="0"/>
        <w:jc w:val="both"/>
        <w:rPr/>
      </w:pPr>
      <w:r>
        <w:rPr>
          <w:rStyle w:val="FootnoteCharacters"/>
        </w:rPr>
        <w:footnoteRef/>
      </w:r>
      <w:r>
        <w:rPr/>
        <w:t xml:space="preserve"> </w:t>
      </w:r>
      <w:r>
        <w:rPr/>
        <w:tab/>
      </w:r>
      <w:r>
        <w:rPr>
          <w:b/>
        </w:rPr>
        <w:t>Insert cite to ISO 9-6-00 report</w:t>
      </w:r>
    </w:p>
  </w:footnote>
  <w:footnote w:id="16">
    <w:p>
      <w:pPr>
        <w:pStyle w:val="FootnoteText"/>
        <w:spacing w:before="0" w:after="240"/>
        <w:ind w:hanging="720" w:start="720" w:end="0"/>
        <w:jc w:val="both"/>
        <w:rPr/>
      </w:pPr>
      <w:r>
        <w:rPr>
          <w:rStyle w:val="FootnoteCharacters"/>
        </w:rPr>
        <w:footnoteRef/>
      </w:r>
      <w:r>
        <w:rPr/>
        <w:t xml:space="preserve"> </w:t>
      </w:r>
      <w:r>
        <w:rPr/>
        <w:tab/>
      </w:r>
      <w:r>
        <w:rPr>
          <w:b/>
        </w:rPr>
        <w:t>cite to bilateral decisions and duque and bilas alternates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143/X16522-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240"/>
      <w:ind w:hanging="720" w:start="720" w:end="0"/>
      <w:jc w:val="both"/>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spacing w:lineRule="auto" w:line="480"/>
      <w:jc w:val="both"/>
      <w:outlineLvl w:val="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2000-09-12T14:08:00Z</dcterms:created>
  <dc:creator>JMB</dc:creator>
  <dc:description/>
  <dc:language>en-CA</dc:language>
  <cp:lastModifiedBy>Michael B. Day</cp:lastModifiedBy>
  <cp:lastPrinted>2000-09-10T22:27:00Z</cp:lastPrinted>
  <dcterms:modified xsi:type="dcterms:W3CDTF">2000-09-12T14:08:00Z</dcterms:modified>
  <cp:revision>3</cp:revision>
  <dc:subject/>
  <dc:title/>
</cp:coreProperties>
</file>