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jc w:val="center"/>
              <w:rPr/>
            </w:pPr>
            <w:r>
              <w:rPr/>
              <w:t>Investigation 00-08-002</w:t>
            </w:r>
          </w:p>
          <w:p>
            <w:pPr>
              <w:pStyle w:val="Normal"/>
              <w:tabs>
                <w:tab w:val="clear" w:pos="720"/>
                <w:tab w:val="left" w:pos="1872" w:leader="none"/>
              </w:tabs>
              <w:jc w:val="center"/>
              <w:rPr/>
            </w:pPr>
            <w:r>
              <w:rPr/>
              <w:t>(August 3, 2000)</w:t>
            </w:r>
          </w:p>
        </w:tc>
      </w:tr>
    </w:tbl>
    <w:p>
      <w:pPr>
        <w:pStyle w:val="Normal"/>
        <w:jc w:val="center"/>
        <w:rPr>
          <w:b/>
        </w:rPr>
      </w:pPr>
      <w:r>
        <w:rPr>
          <w:b/>
        </w:rPr>
      </w:r>
    </w:p>
    <w:p>
      <w:pPr>
        <w:pStyle w:val="Normal"/>
        <w:spacing w:before="720" w:after="0"/>
        <w:jc w:val="center"/>
        <w:rPr>
          <w:b/>
        </w:rPr>
      </w:pPr>
      <w:r>
        <w:rPr>
          <w:b/>
        </w:rPr>
      </w:r>
    </w:p>
    <w:p>
      <w:pPr>
        <w:pStyle w:val="Normal"/>
        <w:spacing w:before="720" w:after="0"/>
        <w:jc w:val="center"/>
        <w:rPr>
          <w:b/>
        </w:rPr>
      </w:pPr>
      <w:r>
        <w:rPr>
          <w:b/>
        </w:rPr>
        <w:t>PROPOSED PROCEDURAL SCHEDULE OF</w:t>
      </w:r>
    </w:p>
    <w:p>
      <w:pPr>
        <w:pStyle w:val="Normal"/>
        <w:spacing w:before="0" w:after="1080"/>
        <w:jc w:val="center"/>
        <w:rPr>
          <w:b/>
        </w:rPr>
      </w:pPr>
      <w:r>
        <w:rPr>
          <w:b/>
        </w:rPr>
        <w:t>THE ALLIANCE FOR RETAIL MARKETS</w:t>
      </w:r>
    </w:p>
    <w:p>
      <w:pPr>
        <w:pStyle w:val="Normal"/>
        <w:spacing w:before="0" w:after="1080"/>
        <w:jc w:val="center"/>
        <w:rPr>
          <w:b/>
        </w:rPr>
      </w:pPr>
      <w:r>
        <w:rPr>
          <w:b/>
        </w:rPr>
      </w:r>
    </w:p>
    <w:p>
      <w:pPr>
        <w:pStyle w:val="Normal"/>
        <w:spacing w:before="0" w:after="108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31, 2000</w:t>
            </w:r>
          </w:p>
        </w:tc>
        <w:tc>
          <w:tcPr>
            <w:tcW w:w="5040" w:type="dxa"/>
            <w:tcBorders/>
            <w:vAlign w:val="bottom"/>
          </w:tcPr>
          <w:p>
            <w:pPr>
              <w:pStyle w:val="Normal"/>
              <w:spacing w:before="0" w:after="360"/>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 xml:space="preserve">Attorneys for the Alliance for Retail Markets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508"/>
        <w:gridCol w:w="5868"/>
        <w:gridCol w:w="5688"/>
        <w:gridCol w:w="3384"/>
      </w:tblGrid>
      <w:tr>
        <w:trPr>
          <w:trHeight w:val="1611" w:hRule="atLeast"/>
        </w:trPr>
        <w:tc>
          <w:tcPr>
            <w:tcW w:w="5508" w:type="dxa"/>
            <w:tcBorders>
              <w:bottom w:val="single" w:sz="8" w:space="0" w:color="000000"/>
              <w:end w:val="single" w:sz="8"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5868" w:type="dxa"/>
            <w:tcBorders/>
          </w:tcPr>
          <w:p>
            <w:pPr>
              <w:pStyle w:val="Normal"/>
              <w:tabs>
                <w:tab w:val="clear" w:pos="720"/>
                <w:tab w:val="left" w:pos="1872" w:leader="none"/>
              </w:tabs>
              <w:snapToGrid w:val="false"/>
              <w:rPr/>
            </w:pPr>
            <w:r>
              <w:rPr/>
            </w:r>
          </w:p>
          <w:p>
            <w:pPr>
              <w:pStyle w:val="Normal"/>
              <w:tabs>
                <w:tab w:val="clear" w:pos="720"/>
                <w:tab w:val="left" w:pos="1872" w:leader="none"/>
              </w:tabs>
              <w:rPr/>
            </w:pPr>
            <w:r>
              <w:rPr/>
              <w:t xml:space="preserve">    </w:t>
            </w:r>
            <w:r>
              <w:rPr/>
              <w:t>Investigation 00-08-002</w:t>
            </w:r>
          </w:p>
          <w:p>
            <w:pPr>
              <w:pStyle w:val="Normal"/>
              <w:tabs>
                <w:tab w:val="clear" w:pos="720"/>
                <w:tab w:val="left" w:pos="1872" w:leader="none"/>
              </w:tabs>
              <w:rPr/>
            </w:pPr>
            <w:r>
              <w:rPr/>
              <w:t xml:space="preserve">         </w:t>
            </w:r>
            <w:r>
              <w:rPr/>
              <w:t>(August 3, 2000)</w:t>
            </w:r>
          </w:p>
        </w:tc>
        <w:tc>
          <w:tcPr>
            <w:tcW w:w="5688" w:type="dxa"/>
            <w:tcBorders>
              <w:bottom w:val="single" w:sz="8" w:space="0" w:color="000000"/>
            </w:tcBorders>
          </w:tcPr>
          <w:p>
            <w:pPr>
              <w:pStyle w:val="Normal"/>
              <w:spacing w:before="0" w:after="240"/>
              <w:rPr/>
            </w:pPr>
            <w:r>
              <w:rPr/>
              <w:t>.</w:t>
            </w:r>
          </w:p>
          <w:p>
            <w:pPr>
              <w:pStyle w:val="Normal"/>
              <w:rPr/>
            </w:pPr>
            <w:r>
              <w:rPr/>
            </w:r>
          </w:p>
        </w:tc>
        <w:tc>
          <w:tcPr>
            <w:tcW w:w="3384" w:type="dxa"/>
            <w:tcBorders>
              <w:bottom w:val="single" w:sz="8" w:space="0" w:color="000000"/>
              <w:end w:val="single" w:sz="8" w:space="0" w:color="000000"/>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jc w:val="center"/>
        <w:rPr/>
      </w:pPr>
      <w:r>
        <w:rPr/>
      </w:r>
    </w:p>
    <w:p>
      <w:pPr>
        <w:pStyle w:val="Normal"/>
        <w:jc w:val="center"/>
        <w:rPr>
          <w:b/>
        </w:rPr>
      </w:pPr>
      <w:r>
        <w:rPr>
          <w:b/>
        </w:rPr>
        <w:t>PROPOSED PROCEDURAL SCHEDULE OF</w:t>
      </w:r>
    </w:p>
    <w:p>
      <w:pPr>
        <w:pStyle w:val="Normal"/>
        <w:jc w:val="center"/>
        <w:rPr>
          <w:b/>
        </w:rPr>
      </w:pPr>
      <w:r>
        <w:rPr>
          <w:b/>
        </w:rPr>
        <w:t>THE ALLIANCE FOR RETAIL MARKETS</w:t>
      </w:r>
    </w:p>
    <w:p>
      <w:pPr>
        <w:pStyle w:val="Normal"/>
        <w:jc w:val="center"/>
        <w:rPr>
          <w:b/>
        </w:rPr>
      </w:pPr>
      <w:r>
        <w:rPr>
          <w:b/>
        </w:rPr>
      </w:r>
    </w:p>
    <w:p>
      <w:pPr>
        <w:pStyle w:val="Normal"/>
        <w:spacing w:lineRule="auto" w:line="480"/>
        <w:ind w:firstLine="720" w:end="0"/>
        <w:jc w:val="both"/>
        <w:rPr/>
      </w:pPr>
      <w:r>
        <w:rPr/>
        <w:t xml:space="preserve">In order to aid the Commission in its development of a procedural schedule to address the matters before it in the above-captioned investigation, the Alliance for Retails Markets (“ARM”), a party to this proceeding, advances the following procedural mechanisms and associated timetable.  The proposed schedule and accompanying procedures are designed to ensure that all issues implicated by the Commission August 3, 2000 Order Instituting Investigation into the Functioning of the Wholesale Electric Market and Associated Impact on Retail Rates (“OII”) are fully addressed, while also recognizing the need to proceed in an expeditious manner. </w:t>
      </w:r>
    </w:p>
    <w:p>
      <w:pPr>
        <w:pStyle w:val="Normal"/>
        <w:spacing w:lineRule="auto" w:line="480"/>
        <w:ind w:firstLine="720" w:end="0"/>
        <w:jc w:val="both"/>
        <w:rPr>
          <w:b/>
        </w:rPr>
      </w:pPr>
      <w:r>
        <w:rPr>
          <w:b/>
        </w:rPr>
        <w:t>A.</w:t>
        <w:tab/>
        <w:t>Proposed Format</w:t>
      </w:r>
    </w:p>
    <w:p>
      <w:pPr>
        <w:pStyle w:val="Normal"/>
        <w:spacing w:lineRule="auto" w:line="480"/>
        <w:ind w:firstLine="720" w:end="0"/>
        <w:jc w:val="both"/>
        <w:rPr/>
      </w:pPr>
      <w:r>
        <w:rPr/>
        <w:t>The scope of issues that need to be explored in this investigation is broad and, given the urgency of the current situations for San Diegans, time is short.  Given the confluence of these two factors ARM suggests that the recommendation made by several parties at the August 29, 2000 prehearing conference to “multi-track” the procedural schedule is not only reasonable, but is critical.   Multi-tracking the issues (i.e., establishing more than one procedural track, with each issue assigned to a certain track, and one administrative law judge and commissioner assigned to each track) will not only allow for a more timely progression through the multitude of complex issues, but will allow these issues to be explored in a more deliberate fashion then if all issues were thrown into one forum.  While the number and complexity of the issues may speak to phasing of the proceeding and thereby “back burnering” certain issues for latter, ARM believes that such would be a mistake.  The interrelationship of the wholesale and retail markets calls for addressing all issues during the same time frame. Having two (or more if necessary) simultaneous forums allows for the necessary interaction and consultation between participants, the assigned judges and the assigned commissioners to formulate cohesive solutions to the problems which are currently plaguing the restructured electric market in California.</w:t>
      </w:r>
    </w:p>
    <w:p>
      <w:pPr>
        <w:pStyle w:val="Normal"/>
        <w:spacing w:lineRule="auto" w:line="480"/>
        <w:ind w:firstLine="720" w:end="0"/>
        <w:jc w:val="both"/>
        <w:rPr>
          <w:b/>
        </w:rPr>
      </w:pPr>
      <w:r>
        <w:rPr>
          <w:b/>
        </w:rPr>
        <w:t>B.</w:t>
        <w:tab/>
        <w:t>Proposed Grouping of Issues</w:t>
      </w:r>
    </w:p>
    <w:p>
      <w:pPr>
        <w:pStyle w:val="Normal"/>
        <w:spacing w:lineRule="auto" w:line="480"/>
        <w:ind w:firstLine="720" w:end="0"/>
        <w:jc w:val="both"/>
        <w:rPr/>
      </w:pPr>
      <w:r>
        <w:rPr/>
        <w:t>The plethora of issues currently before the Commission (as identified in the OII) – a list that is likely to grow with the issuance of the Scoping Memo – might call for more than two procedural tracks.  ARM, however, does not recommend a finer delineation at this time.</w:t>
      </w:r>
      <w:r>
        <w:rPr>
          <w:rStyle w:val="FootnoteCharacters"/>
          <w:rStyle w:val="FootnoteReference"/>
        </w:rPr>
        <w:footnoteReference w:id="2"/>
      </w:r>
      <w:r>
        <w:rPr/>
        <w:t xml:space="preserve">  Rather ARM would propose that the Commission make the initial demarcation in issues between those pertaining to the operations of the wholesale market and those addressing retail implications for consumers.  Given the fact that the two markets are inextricably interconnected, the line of demarcation will not always be clear. Using the issues set forth in the August 3, 2000 OII (realizing that these may be augmented), ARM, however, proposes the following delineation in issues between the two categorizations (</w:t>
      </w:r>
      <w:r>
        <w:rPr>
          <w:i/>
        </w:rPr>
        <w:t>i.e</w:t>
      </w:r>
      <w:r>
        <w:rPr/>
        <w:t>., wholesale and retail).</w:t>
      </w:r>
      <w:r>
        <w:rPr>
          <w:rStyle w:val="FootnoteCharacters"/>
          <w:rStyle w:val="FootnoteReference"/>
        </w:rPr>
        <w:footnoteReference w:id="3"/>
      </w:r>
    </w:p>
    <w:p>
      <w:pPr>
        <w:pStyle w:val="Normal"/>
        <w:spacing w:lineRule="auto" w:line="480"/>
        <w:ind w:firstLine="720" w:start="720" w:end="0"/>
        <w:jc w:val="both"/>
        <w:rPr>
          <w:b/>
          <w:i/>
          <w:i/>
        </w:rPr>
      </w:pPr>
      <w:r>
        <w:rPr>
          <w:b/>
          <w:i/>
        </w:rPr>
        <w:t>Retail Issues</w:t>
      </w:r>
    </w:p>
    <w:p>
      <w:pPr>
        <w:pStyle w:val="Normal"/>
        <w:spacing w:lineRule="auto" w:line="480"/>
        <w:ind w:firstLine="720" w:end="0"/>
        <w:jc w:val="both"/>
        <w:rPr/>
      </w:pPr>
      <w:r>
        <w:rPr/>
        <w:t xml:space="preserve">1.  Default Service (nature, provider and commodity procurement) </w:t>
      </w:r>
    </w:p>
    <w:p>
      <w:pPr>
        <w:pStyle w:val="Normal"/>
        <w:spacing w:lineRule="auto" w:line="480"/>
        <w:ind w:firstLine="720" w:end="0"/>
        <w:jc w:val="both"/>
        <w:rPr/>
      </w:pPr>
      <w:r>
        <w:rPr/>
        <w:t>2.  Bill Payment Options (</w:t>
      </w:r>
      <w:r>
        <w:rPr>
          <w:i/>
        </w:rPr>
        <w:t>e.g</w:t>
      </w:r>
      <w:r>
        <w:rPr/>
        <w:t xml:space="preserve">., levelized payment) </w:t>
      </w:r>
    </w:p>
    <w:p>
      <w:pPr>
        <w:pStyle w:val="Normal"/>
        <w:spacing w:lineRule="auto" w:line="480"/>
        <w:ind w:firstLine="720" w:end="0"/>
        <w:jc w:val="both"/>
        <w:rPr/>
      </w:pPr>
      <w:r>
        <w:rPr/>
        <w:t>3.  Rate Design and Tariff Options</w:t>
      </w:r>
    </w:p>
    <w:p>
      <w:pPr>
        <w:pStyle w:val="Normal"/>
        <w:spacing w:lineRule="auto" w:line="480"/>
        <w:ind w:firstLine="720" w:end="0"/>
        <w:jc w:val="both"/>
        <w:rPr/>
      </w:pPr>
      <w:r>
        <w:rPr/>
        <w:t>4.  Customer Aggregation</w:t>
      </w:r>
    </w:p>
    <w:p>
      <w:pPr>
        <w:pStyle w:val="Normal"/>
        <w:spacing w:lineRule="auto" w:line="480"/>
        <w:ind w:firstLine="720" w:end="0"/>
        <w:jc w:val="both"/>
        <w:rPr/>
      </w:pPr>
      <w:r>
        <w:rPr/>
        <w:t xml:space="preserve">5.  Assistance for Low Income Customers (e.g., CARE)  </w:t>
      </w:r>
    </w:p>
    <w:p>
      <w:pPr>
        <w:pStyle w:val="Normal"/>
        <w:spacing w:lineRule="auto" w:line="480"/>
        <w:ind w:firstLine="720" w:end="0"/>
        <w:jc w:val="both"/>
        <w:rPr/>
      </w:pPr>
      <w:r>
        <w:rPr/>
        <w:t>6.  Recovery of Under-collection from Bill Levelization Plan</w:t>
      </w:r>
    </w:p>
    <w:p>
      <w:pPr>
        <w:pStyle w:val="Normal"/>
        <w:spacing w:lineRule="auto" w:line="480"/>
        <w:ind w:firstLine="720" w:start="720" w:end="0"/>
        <w:jc w:val="both"/>
        <w:rPr>
          <w:b/>
          <w:i/>
          <w:i/>
        </w:rPr>
      </w:pPr>
      <w:r>
        <w:rPr>
          <w:b/>
          <w:i/>
        </w:rPr>
        <w:t>Wholesale Issues</w:t>
      </w:r>
    </w:p>
    <w:p>
      <w:pPr>
        <w:pStyle w:val="Normal"/>
        <w:spacing w:lineRule="auto" w:line="480"/>
        <w:ind w:firstLine="720" w:end="0"/>
        <w:jc w:val="both"/>
        <w:rPr/>
      </w:pPr>
      <w:r>
        <w:rPr/>
        <w:t>1.  Participation by UDCs in Procurement Markets (past and present)</w:t>
      </w:r>
    </w:p>
    <w:p>
      <w:pPr>
        <w:pStyle w:val="Normal"/>
        <w:spacing w:lineRule="auto" w:line="480"/>
        <w:ind w:firstLine="720" w:end="0"/>
        <w:jc w:val="both"/>
        <w:rPr/>
      </w:pPr>
      <w:r>
        <w:rPr/>
        <w:t>2.  Assessment of the Reasonableness of UDC Procurement Activities (past and present)</w:t>
      </w:r>
    </w:p>
    <w:p>
      <w:pPr>
        <w:pStyle w:val="Normal"/>
        <w:spacing w:lineRule="auto" w:line="480"/>
        <w:ind w:firstLine="720" w:end="0"/>
        <w:jc w:val="both"/>
        <w:rPr/>
      </w:pPr>
      <w:r>
        <w:rPr/>
        <w:t xml:space="preserve">3.  Causes of Price Increase in the Wholesale Market </w:t>
      </w:r>
    </w:p>
    <w:p>
      <w:pPr>
        <w:pStyle w:val="Normal"/>
        <w:spacing w:lineRule="auto" w:line="480"/>
        <w:ind w:firstLine="720" w:end="0"/>
        <w:jc w:val="both"/>
        <w:rPr/>
      </w:pPr>
      <w:r>
        <w:rPr>
          <w:b/>
        </w:rPr>
        <w:t>C</w:t>
      </w:r>
      <w:r>
        <w:rPr/>
        <w:t>.</w:t>
        <w:tab/>
      </w:r>
      <w:r>
        <w:rPr>
          <w:b/>
        </w:rPr>
        <w:t>Proposed Procedural Schedule</w:t>
      </w:r>
    </w:p>
    <w:p>
      <w:pPr>
        <w:pStyle w:val="Normal"/>
        <w:spacing w:lineRule="auto" w:line="480"/>
        <w:ind w:firstLine="720" w:end="0"/>
        <w:jc w:val="both"/>
        <w:rPr/>
      </w:pPr>
      <w:r>
        <w:rPr/>
        <w:t>Listed below is a proposed schedule for the Commission’s investigation.  This schedule would apply to both tracks of the investigation</w:t>
      </w:r>
    </w:p>
    <w:p>
      <w:pPr>
        <w:pStyle w:val="Normal"/>
        <w:spacing w:lineRule="auto" w:line="480"/>
        <w:ind w:firstLine="720" w:end="0"/>
        <w:jc w:val="both"/>
        <w:rPr/>
      </w:pPr>
      <w:r>
        <w:rPr/>
        <w:t>Issuance of Draft Scoping Memo</w:t>
        <w:tab/>
        <w:tab/>
        <w:tab/>
        <w:t>September 6, 2000</w:t>
      </w:r>
    </w:p>
    <w:p>
      <w:pPr>
        <w:pStyle w:val="Normal"/>
        <w:spacing w:lineRule="auto" w:line="480"/>
        <w:ind w:firstLine="720" w:end="0"/>
        <w:jc w:val="both"/>
        <w:rPr/>
      </w:pPr>
      <w:r>
        <w:rPr/>
        <w:t>Comments on Draft Scoping Memo</w:t>
        <w:tab/>
        <w:tab/>
        <w:tab/>
        <w:t>September 8, 2000</w:t>
      </w:r>
    </w:p>
    <w:p>
      <w:pPr>
        <w:pStyle w:val="Normal"/>
        <w:spacing w:lineRule="auto" w:line="480"/>
        <w:ind w:firstLine="720" w:end="0"/>
        <w:jc w:val="both"/>
        <w:rPr/>
      </w:pPr>
      <w:r>
        <w:rPr/>
        <w:t>Issuance of Final Scoping Memo</w:t>
        <w:tab/>
        <w:tab/>
        <w:tab/>
        <w:t>September 12, 2000</w:t>
      </w:r>
    </w:p>
    <w:p>
      <w:pPr>
        <w:pStyle w:val="Normal"/>
        <w:spacing w:lineRule="auto" w:line="480"/>
        <w:ind w:firstLine="720" w:end="0"/>
        <w:jc w:val="both"/>
        <w:rPr/>
      </w:pPr>
      <w:r>
        <w:rPr/>
        <w:t>Initial Testimony (respondents and intervenors)</w:t>
        <w:tab/>
        <w:t>September 28, 2000</w:t>
      </w:r>
    </w:p>
    <w:p>
      <w:pPr>
        <w:pStyle w:val="Normal"/>
        <w:spacing w:lineRule="auto" w:line="480"/>
        <w:ind w:firstLine="720" w:end="0"/>
        <w:jc w:val="both"/>
        <w:rPr/>
      </w:pPr>
      <w:r>
        <w:rPr/>
        <w:t>Rebuttal Testimony</w:t>
        <w:tab/>
        <w:tab/>
        <w:tab/>
        <w:tab/>
        <w:tab/>
        <w:t>October 6, 2000</w:t>
      </w:r>
    </w:p>
    <w:p>
      <w:pPr>
        <w:pStyle w:val="Normal"/>
        <w:spacing w:lineRule="auto" w:line="480"/>
        <w:ind w:firstLine="720" w:end="0"/>
        <w:jc w:val="both"/>
        <w:rPr/>
      </w:pPr>
      <w:r>
        <w:rPr/>
        <w:t>Prehearing conference</w:t>
        <w:tab/>
        <w:tab/>
        <w:tab/>
        <w:tab/>
        <w:tab/>
        <w:t>October 10, 2000</w:t>
      </w:r>
    </w:p>
    <w:p>
      <w:pPr>
        <w:pStyle w:val="Normal"/>
        <w:spacing w:lineRule="auto" w:line="480"/>
        <w:ind w:firstLine="720" w:end="0"/>
        <w:jc w:val="both"/>
        <w:rPr/>
      </w:pPr>
      <w:r>
        <w:rPr/>
        <w:t>Hearing</w:t>
        <w:tab/>
        <w:tab/>
        <w:tab/>
        <w:tab/>
        <w:tab/>
        <w:tab/>
        <w:t>October 12 –24, 2000</w:t>
      </w:r>
    </w:p>
    <w:p>
      <w:pPr>
        <w:pStyle w:val="Normal"/>
        <w:spacing w:lineRule="auto" w:line="480"/>
        <w:ind w:firstLine="720" w:end="0"/>
        <w:jc w:val="both"/>
        <w:rPr/>
      </w:pPr>
      <w:r>
        <w:rPr/>
        <w:t>Initial Briefs</w:t>
        <w:tab/>
        <w:tab/>
        <w:tab/>
        <w:tab/>
        <w:tab/>
        <w:tab/>
        <w:t>November 9, 2000</w:t>
      </w:r>
    </w:p>
    <w:p>
      <w:pPr>
        <w:pStyle w:val="Normal"/>
        <w:spacing w:lineRule="auto" w:line="480"/>
        <w:ind w:firstLine="720" w:end="0"/>
        <w:jc w:val="both"/>
        <w:rPr/>
      </w:pPr>
      <w:r>
        <w:rPr/>
        <w:t>Reply Briefs</w:t>
        <w:tab/>
        <w:tab/>
        <w:tab/>
        <w:tab/>
        <w:tab/>
        <w:tab/>
        <w:t>November 20, 2000</w:t>
      </w:r>
    </w:p>
    <w:p>
      <w:pPr>
        <w:pStyle w:val="Normal"/>
        <w:spacing w:lineRule="auto" w:line="480"/>
        <w:ind w:firstLine="720" w:end="0"/>
        <w:jc w:val="both"/>
        <w:rPr/>
      </w:pPr>
      <w:r>
        <w:rPr/>
        <w:t>Proposed Decision</w:t>
        <w:tab/>
        <w:tab/>
        <w:tab/>
        <w:tab/>
        <w:tab/>
        <w:t>January 4, 2001</w:t>
      </w:r>
    </w:p>
    <w:p>
      <w:pPr>
        <w:pStyle w:val="Normal"/>
        <w:spacing w:lineRule="auto" w:line="480"/>
        <w:ind w:firstLine="720" w:end="0"/>
        <w:jc w:val="both"/>
        <w:rPr/>
      </w:pPr>
      <w:r>
        <w:rPr/>
        <w:t xml:space="preserve">Final Decision </w:t>
        <w:tab/>
        <w:tab/>
        <w:tab/>
        <w:tab/>
        <w:tab/>
        <w:t>February 1, 2001</w:t>
        <w:tab/>
        <w:t xml:space="preserve">       </w:t>
      </w:r>
    </w:p>
    <w:p>
      <w:pPr>
        <w:pStyle w:val="Normal"/>
        <w:spacing w:lineRule="exact" w:line="200" w:before="240" w:after="0"/>
        <w:rPr/>
      </w:pPr>
      <w:r>
        <w:rPr>
          <w:rStyle w:val="zzmpTrailerItem"/>
        </w:rPr>
        <w:t>2704/143/X16221-1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After having received more detail input from parties in the form of testimony, the Commission may later determine whether certain additional issues need to be splintered off from the two main procedural tracks.     </w:t>
      </w:r>
    </w:p>
  </w:footnote>
  <w:footnote w:id="3">
    <w:p>
      <w:pPr>
        <w:pStyle w:val="FootnoteText"/>
        <w:spacing w:before="0" w:after="240"/>
        <w:ind w:hanging="720" w:start="720" w:end="0"/>
        <w:jc w:val="both"/>
        <w:rPr/>
      </w:pPr>
      <w:r>
        <w:rPr>
          <w:rStyle w:val="FootnoteCharacters"/>
        </w:rPr>
        <w:footnoteRef/>
      </w:r>
      <w:r>
        <w:rPr>
          <w:sz w:val="24"/>
        </w:rPr>
        <w:t xml:space="preserve"> </w:t>
      </w:r>
      <w:r>
        <w:rPr>
          <w:sz w:val="24"/>
        </w:rPr>
        <w:tab/>
        <w:t xml:space="preserve">These issues are broad in nature, not intending to include the numerous sub-issues that are encompassed within.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3/X1622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2000-08-30T16:42:00Z</dcterms:created>
  <dc:creator>JMB</dc:creator>
  <dc:description/>
  <dc:language>en-CA</dc:language>
  <cp:lastModifiedBy>JMB</cp:lastModifiedBy>
  <dcterms:modified xsi:type="dcterms:W3CDTF">2000-08-30T16:42:00Z</dcterms:modified>
  <cp:revision>2</cp:revision>
  <dc:subject/>
  <dc:title/>
</cp:coreProperties>
</file>