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jc w:val="center"/>
        <w:outlineLvl w:val="0"/>
        <w:rPr>
          <w:b/>
        </w:rPr>
      </w:pPr>
      <w:r>
        <w:rPr>
          <w:b/>
        </w:rPr>
        <w:t>Comments/Amendments to AB 970 Ducheny</w:t>
      </w:r>
    </w:p>
    <w:p>
      <w:pPr>
        <w:pStyle w:val="BodyText"/>
        <w:ind w:hanging="0" w:end="0"/>
        <w:rPr>
          <w:b/>
        </w:rPr>
      </w:pPr>
      <w:r>
        <w:rPr>
          <w:b/>
        </w:rPr>
      </w:r>
    </w:p>
    <w:p>
      <w:pPr>
        <w:pStyle w:val="BodyText"/>
        <w:numPr>
          <w:ilvl w:val="0"/>
          <w:numId w:val="0"/>
        </w:numPr>
        <w:ind w:start="0" w:hanging="0" w:end="0"/>
        <w:outlineLvl w:val="0"/>
        <w:rPr>
          <w:b/>
        </w:rPr>
      </w:pPr>
      <w:r>
        <w:rPr>
          <w:b/>
        </w:rPr>
        <w:t>SHORT TERM MEASURES</w:t>
      </w:r>
    </w:p>
    <w:p>
      <w:pPr>
        <w:pStyle w:val="BodyText"/>
        <w:numPr>
          <w:ilvl w:val="0"/>
          <w:numId w:val="0"/>
        </w:numPr>
        <w:ind w:start="0" w:hanging="0" w:end="0"/>
        <w:outlineLvl w:val="0"/>
        <w:rPr>
          <w:b/>
        </w:rPr>
      </w:pPr>
      <w:r>
        <w:rPr>
          <w:b/>
        </w:rPr>
        <w:t>SECTION ONE</w:t>
      </w:r>
    </w:p>
    <w:p>
      <w:pPr>
        <w:pStyle w:val="BodyText"/>
        <w:numPr>
          <w:ilvl w:val="0"/>
          <w:numId w:val="0"/>
        </w:numPr>
        <w:ind w:start="0" w:hanging="0" w:end="0"/>
        <w:outlineLvl w:val="0"/>
        <w:rPr>
          <w:b/>
        </w:rPr>
      </w:pPr>
      <w:r>
        <w:rPr>
          <w:b/>
        </w:rPr>
        <w:t>Public Resources Code Section 25541.3(c)(1):</w:t>
      </w:r>
    </w:p>
    <w:p>
      <w:pPr>
        <w:pStyle w:val="BodyText"/>
        <w:ind w:hanging="0" w:end="0"/>
        <w:rPr/>
      </w:pPr>
      <w:r>
        <w:rPr/>
        <w:tab/>
        <w:t>Eliminate the phrase “fills a critical reliability need, as determined by the Independent system Operator in consultation with the commission and”.</w:t>
      </w:r>
    </w:p>
    <w:p>
      <w:pPr>
        <w:pStyle w:val="BodyText"/>
        <w:ind w:hanging="0" w:end="0"/>
        <w:rPr/>
      </w:pPr>
      <w:r>
        <w:rPr/>
      </w:r>
    </w:p>
    <w:p>
      <w:pPr>
        <w:pStyle w:val="BodyText"/>
        <w:numPr>
          <w:ilvl w:val="0"/>
          <w:numId w:val="0"/>
        </w:numPr>
        <w:ind w:start="0" w:hanging="0" w:end="0"/>
        <w:outlineLvl w:val="0"/>
        <w:rPr>
          <w:b/>
        </w:rPr>
      </w:pPr>
      <w:r>
        <w:rPr>
          <w:b/>
        </w:rPr>
        <w:t>Section 25541.3(d)(4):</w:t>
      </w:r>
    </w:p>
    <w:p>
      <w:pPr>
        <w:pStyle w:val="BodyText"/>
        <w:numPr>
          <w:ilvl w:val="0"/>
          <w:numId w:val="0"/>
        </w:numPr>
        <w:ind w:start="0" w:hanging="0" w:end="0"/>
        <w:outlineLvl w:val="0"/>
        <w:rPr/>
      </w:pPr>
      <w:r>
        <w:rPr/>
        <w:tab/>
        <w:t>Eliminate the phrase “fills a critical reliability need and”.</w:t>
      </w:r>
    </w:p>
    <w:p>
      <w:pPr>
        <w:pStyle w:val="BodyText"/>
        <w:ind w:hanging="0" w:end="0"/>
        <w:rPr>
          <w:b/>
        </w:rPr>
      </w:pPr>
      <w:r>
        <w:rPr>
          <w:b/>
        </w:rPr>
      </w:r>
    </w:p>
    <w:p>
      <w:pPr>
        <w:pStyle w:val="BodyText"/>
        <w:numPr>
          <w:ilvl w:val="0"/>
          <w:numId w:val="0"/>
        </w:numPr>
        <w:ind w:start="0" w:hanging="0" w:end="0"/>
        <w:outlineLvl w:val="0"/>
        <w:rPr>
          <w:b/>
        </w:rPr>
      </w:pPr>
      <w:r>
        <w:rPr>
          <w:b/>
        </w:rPr>
        <w:t>SECTION THREE</w:t>
      </w:r>
    </w:p>
    <w:p>
      <w:pPr>
        <w:pStyle w:val="BodyText"/>
        <w:numPr>
          <w:ilvl w:val="0"/>
          <w:numId w:val="0"/>
        </w:numPr>
        <w:ind w:start="0" w:hanging="0" w:end="0"/>
        <w:outlineLvl w:val="0"/>
        <w:rPr>
          <w:b/>
        </w:rPr>
      </w:pPr>
      <w:r>
        <w:rPr>
          <w:b/>
        </w:rPr>
        <w:t>Public Utilities Code Section XXX(a):</w:t>
      </w:r>
    </w:p>
    <w:p>
      <w:pPr>
        <w:pStyle w:val="BodyText"/>
        <w:ind w:hanging="0" w:end="0"/>
        <w:rPr/>
      </w:pPr>
      <w:r>
        <w:rPr/>
        <w:tab/>
        <w:t xml:space="preserve">Following subsection (a), insert a new subsection including the same provisions as set forth in proposed Section 25541.3(a) and (b) of AB 970, replacing the words “simple cycle facilities” with the words “transmission and distribution additions, enhancements, or upgrades meeting the standards set forth in subsection (a)”.  </w:t>
      </w:r>
    </w:p>
    <w:p>
      <w:pPr>
        <w:pStyle w:val="BodyText"/>
        <w:ind w:hanging="0" w:end="0"/>
        <w:rPr>
          <w:b/>
        </w:rPr>
      </w:pPr>
      <w:r>
        <w:rPr>
          <w:b/>
        </w:rPr>
        <w:t>[The intent of this addition is to clarify that the Commission must establish and expedited procedure which will enable it to issue final decisions on completed applications for qualifying transmission projects within four months.]</w:t>
      </w:r>
    </w:p>
    <w:p>
      <w:pPr>
        <w:pStyle w:val="BodyText"/>
        <w:ind w:hanging="0" w:end="0"/>
        <w:rPr>
          <w:b/>
        </w:rPr>
      </w:pPr>
      <w:r>
        <w:rPr>
          <w:b/>
        </w:rPr>
      </w:r>
    </w:p>
    <w:p>
      <w:pPr>
        <w:pStyle w:val="BodyText"/>
        <w:numPr>
          <w:ilvl w:val="0"/>
          <w:numId w:val="0"/>
        </w:numPr>
        <w:ind w:start="0" w:hanging="0" w:end="0"/>
        <w:outlineLvl w:val="0"/>
        <w:rPr>
          <w:b/>
        </w:rPr>
      </w:pPr>
      <w:r>
        <w:rPr>
          <w:b/>
        </w:rPr>
        <w:t>Section XXX(b):</w:t>
      </w:r>
    </w:p>
    <w:p>
      <w:pPr>
        <w:pStyle w:val="BodyText"/>
        <w:ind w:hanging="0" w:end="0"/>
        <w:rPr/>
      </w:pPr>
      <w:r>
        <w:rPr/>
        <w:tab/>
        <w:t>Clarify that subsection (b) applies to fund collected in rates pursuant to Section 381 of the Public Utilities Code.</w:t>
      </w:r>
    </w:p>
    <w:p>
      <w:pPr>
        <w:pStyle w:val="BodyText"/>
        <w:ind w:hanging="0" w:end="0"/>
        <w:rPr/>
      </w:pPr>
      <w:r>
        <w:rPr/>
        <w:tab/>
        <w:t>Amend (b)(i) to specify that financing programs for time-of-use meters for residential and small commercial customers shall be voluntary for all ratepayers and shall be equally available to customers of both utilities and energy service providers, and may be applied to pay for meters offered by both utilities and energy service providers.</w:t>
      </w:r>
      <w:r>
        <w:br w:type="page"/>
      </w:r>
    </w:p>
    <w:p>
      <w:pPr>
        <w:pStyle w:val="BodyText"/>
        <w:numPr>
          <w:ilvl w:val="0"/>
          <w:numId w:val="0"/>
        </w:numPr>
        <w:ind w:start="0" w:hanging="0" w:end="0"/>
        <w:outlineLvl w:val="0"/>
        <w:rPr>
          <w:b/>
        </w:rPr>
      </w:pPr>
      <w:r>
        <w:rPr>
          <w:b/>
        </w:rPr>
        <w:t>Section XXX(c):</w:t>
      </w:r>
    </w:p>
    <w:p>
      <w:pPr>
        <w:pStyle w:val="BodyText"/>
        <w:ind w:hanging="0" w:end="0"/>
        <w:rPr/>
      </w:pPr>
      <w:r>
        <w:rPr/>
        <w:tab/>
        <w:t>Amend as follows:</w:t>
      </w:r>
    </w:p>
    <w:p>
      <w:pPr>
        <w:pStyle w:val="BodyText"/>
        <w:ind w:hanging="0" w:end="0"/>
        <w:rPr/>
      </w:pPr>
      <w:r>
        <w:rPr/>
        <w:tab/>
        <w:t>“Upon application of a utility, the commission shall determine the reasonableness of a bilateral contract to purchase electricity within fifteen days.   In addition, the commission may also establish a process to approve bilateral contracts to purchase electricity as part of a competitive solicitation by a utility or other provider of default service.”</w:t>
      </w:r>
    </w:p>
    <w:p>
      <w:pPr>
        <w:pStyle w:val="BodyText"/>
        <w:numPr>
          <w:ilvl w:val="0"/>
          <w:numId w:val="0"/>
        </w:numPr>
        <w:ind w:start="0" w:hanging="0" w:end="0"/>
        <w:outlineLvl w:val="0"/>
        <w:rPr>
          <w:b/>
        </w:rPr>
      </w:pPr>
      <w:r>
        <w:rPr>
          <w:b/>
        </w:rPr>
        <w:t>Add a new Section XXX(d):</w:t>
      </w:r>
    </w:p>
    <w:p>
      <w:pPr>
        <w:pStyle w:val="BodyText"/>
        <w:ind w:hanging="0" w:end="0"/>
        <w:rPr/>
      </w:pPr>
      <w:r>
        <w:rPr>
          <w:b/>
        </w:rPr>
        <w:tab/>
        <w:t>“</w:t>
      </w:r>
      <w:r>
        <w:rPr/>
        <w:t>Electrical corporations shall complete and submit preliminary facility studies related to interconnection or transmission facilities required to serve power plants seeking certification from the Energy Resources and Conservation Commission under Sections 25541.3 and 25541.4 of the Public Resources Code within four months of receiving a request for a facilities study which is accompanied by a detailed description and location of the facilities to be served .”</w:t>
      </w:r>
    </w:p>
    <w:p>
      <w:pPr>
        <w:pStyle w:val="BodyText"/>
        <w:ind w:hanging="0" w:end="0"/>
        <w:rPr>
          <w:b/>
        </w:rPr>
      </w:pPr>
      <w:r>
        <w:rPr>
          <w:b/>
        </w:rPr>
      </w:r>
    </w:p>
    <w:p>
      <w:pPr>
        <w:pStyle w:val="BodyText"/>
        <w:numPr>
          <w:ilvl w:val="0"/>
          <w:numId w:val="0"/>
        </w:numPr>
        <w:ind w:start="0" w:hanging="0" w:end="0"/>
        <w:outlineLvl w:val="0"/>
        <w:rPr>
          <w:b/>
        </w:rPr>
      </w:pPr>
      <w:r>
        <w:rPr>
          <w:b/>
        </w:rPr>
        <w:t>LONG TERM SUPPLY, CONSERVATION,  and PLANNING MEASURES</w:t>
      </w:r>
    </w:p>
    <w:p>
      <w:pPr>
        <w:pStyle w:val="BodyText"/>
        <w:numPr>
          <w:ilvl w:val="0"/>
          <w:numId w:val="0"/>
        </w:numPr>
        <w:ind w:start="0" w:hanging="0" w:end="0"/>
        <w:outlineLvl w:val="0"/>
        <w:rPr>
          <w:b/>
        </w:rPr>
      </w:pPr>
      <w:r>
        <w:rPr>
          <w:b/>
        </w:rPr>
        <w:t>SECTION ONE</w:t>
      </w:r>
    </w:p>
    <w:p>
      <w:pPr>
        <w:pStyle w:val="BodyText"/>
        <w:numPr>
          <w:ilvl w:val="0"/>
          <w:numId w:val="0"/>
        </w:numPr>
        <w:ind w:start="0" w:hanging="0" w:end="0"/>
        <w:outlineLvl w:val="0"/>
        <w:rPr>
          <w:b/>
        </w:rPr>
      </w:pPr>
      <w:r>
        <w:rPr>
          <w:b/>
        </w:rPr>
        <w:t>Public Resources Code Section 25541.4(a)(5):</w:t>
      </w:r>
    </w:p>
    <w:p>
      <w:pPr>
        <w:pStyle w:val="BodyText"/>
        <w:ind w:hanging="0" w:end="0"/>
        <w:rPr/>
      </w:pPr>
      <w:r>
        <w:rPr/>
        <w:tab/>
        <w:t>Specify “compliance with State Water Resources Control Board policy as stated in Resolution No. 7558…”</w:t>
      </w:r>
    </w:p>
    <w:p>
      <w:pPr>
        <w:pStyle w:val="BodyText"/>
        <w:ind w:hanging="0" w:end="0"/>
        <w:rPr>
          <w:b/>
        </w:rPr>
      </w:pPr>
      <w:r>
        <w:rPr>
          <w:b/>
        </w:rPr>
      </w:r>
    </w:p>
    <w:p>
      <w:pPr>
        <w:pStyle w:val="BodyText"/>
        <w:numPr>
          <w:ilvl w:val="0"/>
          <w:numId w:val="0"/>
        </w:numPr>
        <w:ind w:start="0" w:hanging="0" w:end="0"/>
        <w:outlineLvl w:val="0"/>
        <w:rPr/>
      </w:pPr>
      <w:r>
        <w:rPr>
          <w:b/>
        </w:rPr>
        <w:t>Section 25541.4(a)(8):</w:t>
      </w:r>
      <w:r>
        <w:rPr/>
        <w:t xml:space="preserve">   Delete this subsection as duplicative of (a)(9).</w:t>
      </w:r>
    </w:p>
    <w:p>
      <w:pPr>
        <w:pStyle w:val="BodyText"/>
        <w:ind w:hanging="0" w:end="0"/>
        <w:rPr>
          <w:b/>
        </w:rPr>
      </w:pPr>
      <w:r>
        <w:rPr>
          <w:b/>
        </w:rPr>
      </w:r>
    </w:p>
    <w:p>
      <w:pPr>
        <w:pStyle w:val="BodyText"/>
        <w:numPr>
          <w:ilvl w:val="0"/>
          <w:numId w:val="0"/>
        </w:numPr>
        <w:ind w:start="0" w:hanging="0" w:end="0"/>
        <w:outlineLvl w:val="0"/>
        <w:rPr>
          <w:b/>
        </w:rPr>
      </w:pPr>
      <w:r>
        <w:rPr>
          <w:b/>
        </w:rPr>
        <w:t>Section 25541.4(b):</w:t>
      </w:r>
    </w:p>
    <w:p>
      <w:pPr>
        <w:pStyle w:val="BodyText"/>
        <w:ind w:hanging="0" w:end="0"/>
        <w:rPr/>
      </w:pPr>
      <w:r>
        <w:rPr>
          <w:b/>
        </w:rPr>
        <w:tab/>
      </w:r>
      <w:r>
        <w:rPr/>
        <w:t>Delete the phrase “comments, determination, or opinions” and insert “all comments, recommendations, determinations, proposed mitigation measures, or other information such agency seeks to have the commission consider as part of the expedited certification process”</w:t>
      </w:r>
    </w:p>
    <w:p>
      <w:pPr>
        <w:pStyle w:val="BodyText"/>
        <w:ind w:hanging="0" w:end="0"/>
        <w:rPr/>
      </w:pPr>
      <w:r>
        <w:rPr/>
        <w:tab/>
        <w:t>Add a new sentence following the first sentence in the subsection as follows:</w:t>
      </w:r>
    </w:p>
    <w:p>
      <w:pPr>
        <w:pStyle w:val="BodyText"/>
        <w:ind w:hanging="0" w:end="0"/>
        <w:rPr/>
      </w:pPr>
      <w:r>
        <w:rPr/>
        <w:tab/>
        <w:t>“Every such local, regional, and state agency shall submit the comments and information specified above within the time period set forth herein whether or not the commission has issued a negative declaration or final environmental impact report for the project under consideration, and may not defer submission of the required comments and information until the commission completes its review of the project under the provisions of the CEQA.”</w:t>
      </w:r>
    </w:p>
    <w:p>
      <w:pPr>
        <w:pStyle w:val="BodyText"/>
        <w:ind w:hanging="0" w:end="0"/>
        <w:rPr/>
      </w:pPr>
      <w:r>
        <w:rPr/>
      </w:r>
    </w:p>
    <w:p>
      <w:pPr>
        <w:pStyle w:val="BodyText"/>
        <w:ind w:hanging="0" w:end="0"/>
        <w:rPr/>
      </w:pPr>
      <w:r>
        <w:rPr/>
      </w:r>
    </w:p>
    <w:p>
      <w:pPr>
        <w:pStyle w:val="BodyText"/>
        <w:spacing w:before="0" w:after="240"/>
        <w:ind w:hanging="0" w:end="0"/>
        <w:rPr>
          <w:b/>
        </w:rPr>
      </w:pPr>
      <w:r>
        <w:rPr>
          <w:b/>
        </w:rPr>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2"/>
    <w:docVar w:name="zzmpFixedDOC_ID" w:val="2704/138/X1604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2000-08-24T01:13:00Z</dcterms:created>
  <dc:creator>Michael B. Day</dc:creator>
  <dc:description/>
  <dc:language>en-CA</dc:language>
  <cp:lastModifiedBy>Michael B. Day</cp:lastModifiedBy>
  <cp:lastPrinted>2000-08-23T20:43:00Z</cp:lastPrinted>
  <dcterms:modified xsi:type="dcterms:W3CDTF">2000-08-24T01:13:00Z</dcterms:modified>
  <cp:revision>3</cp:revision>
  <dc:subject/>
  <dc:title/>
</cp:coreProperties>
</file>