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80" w:before="0" w:after="720"/>
        <w:jc w:val="center"/>
        <w:rPr>
          <w:b/>
        </w:rPr>
      </w:pPr>
      <w:r>
        <w:rPr>
          <w:b/>
        </w:rPr>
      </w:r>
    </w:p>
    <w:p>
      <w:pPr>
        <w:pStyle w:val="Normal"/>
        <w:spacing w:lineRule="exact" w:line="480"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spacing w:before="0" w:after="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 xml:space="preserve">     </w:t>
            </w:r>
            <w:r>
              <w:rPr/>
              <w:t>I.99-07-003</w:t>
            </w:r>
          </w:p>
        </w:tc>
      </w:tr>
    </w:tbl>
    <w:p>
      <w:pPr>
        <w:pStyle w:val="Normal"/>
        <w:rPr/>
      </w:pPr>
      <w:r>
        <w:rPr/>
      </w:r>
    </w:p>
    <w:p>
      <w:pPr>
        <w:pStyle w:val="Normal"/>
        <w:rPr/>
      </w:pPr>
      <w:r>
        <w:rPr/>
      </w:r>
    </w:p>
    <w:p>
      <w:pPr>
        <w:pStyle w:val="Normal"/>
        <w:rPr/>
      </w:pPr>
      <w:r>
        <w:rPr/>
      </w:r>
    </w:p>
    <w:p>
      <w:pPr>
        <w:pStyle w:val="BodyText"/>
        <w:numPr>
          <w:ilvl w:val="0"/>
          <w:numId w:val="0"/>
        </w:numPr>
        <w:ind w:firstLine="1440" w:start="0"/>
        <w:jc w:val="center"/>
        <w:outlineLvl w:val="0"/>
        <w:rPr>
          <w:b/>
        </w:rPr>
      </w:pPr>
      <w:r>
        <w:rPr>
          <w:b/>
        </w:rPr>
        <w:t xml:space="preserve">REPLY BRIEF OF WILD GOOSE STORAGE INC., </w:t>
      </w:r>
    </w:p>
    <w:p>
      <w:pPr>
        <w:pStyle w:val="BodyText"/>
        <w:numPr>
          <w:ilvl w:val="0"/>
          <w:numId w:val="0"/>
        </w:numPr>
        <w:ind w:firstLine="1440" w:start="0"/>
        <w:jc w:val="center"/>
        <w:outlineLvl w:val="0"/>
        <w:rPr>
          <w:b/>
        </w:rPr>
      </w:pPr>
      <w:r>
        <w:rPr>
          <w:b/>
        </w:rPr>
        <w:t xml:space="preserve">ENRON NORTH AMERICA CORP., AND </w:t>
      </w:r>
    </w:p>
    <w:p>
      <w:pPr>
        <w:pStyle w:val="BodyText"/>
        <w:numPr>
          <w:ilvl w:val="0"/>
          <w:numId w:val="0"/>
        </w:numPr>
        <w:ind w:firstLine="1440" w:start="0"/>
        <w:jc w:val="center"/>
        <w:outlineLvl w:val="0"/>
        <w:rPr>
          <w:b/>
        </w:rPr>
      </w:pPr>
      <w:r>
        <w:rPr>
          <w:b/>
        </w:rPr>
        <w:t>ENRON ENERGY SERVICES, INC.</w:t>
      </w:r>
    </w:p>
    <w:p>
      <w:pPr>
        <w:pStyle w:val="BodyText"/>
        <w:numPr>
          <w:ilvl w:val="0"/>
          <w:numId w:val="0"/>
        </w:numPr>
        <w:ind w:firstLine="1440" w:start="0"/>
        <w:jc w:val="center"/>
        <w:outlineLvl w:val="0"/>
        <w:rPr>
          <w:b/>
        </w:rPr>
      </w:pPr>
      <w:r>
        <w:rPr>
          <w:b/>
        </w:rPr>
      </w:r>
    </w:p>
    <w:p>
      <w:pPr>
        <w:pStyle w:val="BodyText"/>
        <w:numPr>
          <w:ilvl w:val="0"/>
          <w:numId w:val="0"/>
        </w:numPr>
        <w:ind w:firstLine="1440" w:start="0"/>
        <w:jc w:val="center"/>
        <w:outlineLvl w:val="0"/>
        <w:rPr>
          <w:b/>
        </w:rPr>
      </w:pPr>
      <w:r>
        <w:rPr>
          <w:b/>
        </w:rPr>
      </w:r>
    </w:p>
    <w:p>
      <w:pPr>
        <w:pStyle w:val="BodyText"/>
        <w:numPr>
          <w:ilvl w:val="0"/>
          <w:numId w:val="0"/>
        </w:numPr>
        <w:ind w:firstLine="1440" w:start="0"/>
        <w:jc w:val="center"/>
        <w:outlineLvl w:val="0"/>
        <w:rPr>
          <w:b/>
        </w:rPr>
      </w:pPr>
      <w:r>
        <w:rPr>
          <w:b/>
        </w:rPr>
      </w:r>
    </w:p>
    <w:p>
      <w:pPr>
        <w:pStyle w:val="BodyText"/>
        <w:numPr>
          <w:ilvl w:val="0"/>
          <w:numId w:val="0"/>
        </w:numPr>
        <w:ind w:firstLine="1440" w:start="0"/>
        <w:jc w:val="center"/>
        <w:outlineLvl w:val="0"/>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napToGrid w:val="false"/>
              <w:spacing w:before="120" w:after="0"/>
              <w:rPr/>
            </w:pPr>
            <w:r>
              <w:rPr/>
            </w:r>
          </w:p>
          <w:p>
            <w:pPr>
              <w:pStyle w:val="Normal"/>
              <w:spacing w:before="120" w:after="0"/>
              <w:rPr/>
            </w:pPr>
            <w:r>
              <w:rPr/>
            </w:r>
          </w:p>
          <w:p>
            <w:pPr>
              <w:pStyle w:val="Normal"/>
              <w:spacing w:before="120" w:after="0"/>
              <w:rPr/>
            </w:pPr>
            <w:r>
              <w:rPr/>
              <w:t>Date:  July 31, 2000</w:t>
            </w:r>
          </w:p>
        </w:tc>
        <w:tc>
          <w:tcPr>
            <w:tcW w:w="5040" w:type="dxa"/>
            <w:tcBorders/>
            <w:vAlign w:val="bottom"/>
          </w:tcPr>
          <w:p>
            <w:pPr>
              <w:pStyle w:val="Normal"/>
              <w:rPr/>
            </w:pPr>
            <w:r>
              <w:rPr/>
              <w:t>GOODIN, MACBRIDE, SQUERI,</w:t>
              <w:br/>
              <w:t>RITCHIE &amp; DAY, LLP</w:t>
            </w:r>
          </w:p>
          <w:p>
            <w:pPr>
              <w:pStyle w:val="Normal"/>
              <w:rPr/>
            </w:pPr>
            <w:r>
              <w:rPr/>
              <w:t>Michael B. Day</w:t>
            </w:r>
          </w:p>
          <w:p>
            <w:pPr>
              <w:pStyle w:val="Normal"/>
              <w:rPr/>
            </w:pPr>
            <w:r>
              <w:rPr/>
              <w:t>505 Sansome Street, Suite 900</w:t>
              <w:br/>
              <w:t>San Francisco, CA  94111</w:t>
              <w:br/>
              <w:t>Telephone:</w:t>
              <w:tab/>
              <w:t>(415) 392-7900</w:t>
              <w:br/>
              <w:t>Facsimile:</w:t>
              <w:tab/>
              <w:t>(415) 398-4321</w:t>
            </w:r>
          </w:p>
          <w:p>
            <w:pPr>
              <w:pStyle w:val="Normal"/>
              <w:rPr/>
            </w:pPr>
            <w:hyperlink r:id="rId2">
              <w:r>
                <w:rPr>
                  <w:rStyle w:val="Hyperlink"/>
                </w:rPr>
                <w:t>mday@gmssr.com</w:t>
              </w:r>
            </w:hyperlink>
          </w:p>
          <w:p>
            <w:pPr>
              <w:pStyle w:val="Normal"/>
              <w:spacing w:before="240" w:after="0"/>
              <w:rPr/>
            </w:pPr>
            <w:r>
              <w:rPr/>
              <w:t>Attorneys for Wild Goose Storage Inc., Enron North America, and Enron Energy Services, Inc.</w:t>
            </w:r>
          </w:p>
        </w:tc>
      </w:tr>
    </w:tbl>
    <w:p>
      <w:pPr>
        <w:sectPr>
          <w:headerReference w:type="default" r:id="rId3"/>
          <w:headerReference w:type="first" r:id="rId4"/>
          <w:footerReference w:type="default" r:id="rId5"/>
          <w:footerReference w:type="first" r:id="rId6"/>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lineRule="exact" w:line="480"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end w:val="single" w:sz="6" w:space="0" w:color="000000"/>
            </w:tcBorders>
          </w:tcPr>
          <w:p>
            <w:pPr>
              <w:pStyle w:val="Normal"/>
              <w:spacing w:before="0" w:after="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 xml:space="preserve">              </w:t>
            </w:r>
            <w:r>
              <w:rPr/>
              <w:t>I.99-07-003</w:t>
            </w:r>
          </w:p>
        </w:tc>
      </w:tr>
    </w:tbl>
    <w:p>
      <w:pPr>
        <w:pStyle w:val="Normal"/>
        <w:rPr/>
      </w:pPr>
      <w:r>
        <w:rPr/>
      </w:r>
    </w:p>
    <w:p>
      <w:pPr>
        <w:pStyle w:val="Normal"/>
        <w:rPr/>
      </w:pPr>
      <w:r>
        <w:rPr/>
      </w:r>
    </w:p>
    <w:p>
      <w:pPr>
        <w:pStyle w:val="Normal"/>
        <w:rPr/>
      </w:pPr>
      <w:r>
        <w:rPr/>
      </w:r>
    </w:p>
    <w:p>
      <w:pPr>
        <w:pStyle w:val="Normal"/>
        <w:rPr/>
      </w:pPr>
      <w:r>
        <w:rPr/>
      </w:r>
    </w:p>
    <w:p>
      <w:pPr>
        <w:pStyle w:val="BodyText"/>
        <w:numPr>
          <w:ilvl w:val="0"/>
          <w:numId w:val="0"/>
        </w:numPr>
        <w:ind w:firstLine="1440" w:start="0"/>
        <w:jc w:val="center"/>
        <w:outlineLvl w:val="0"/>
        <w:rPr>
          <w:b/>
        </w:rPr>
      </w:pPr>
      <w:r>
        <w:rPr>
          <w:b/>
        </w:rPr>
        <w:t xml:space="preserve">REPLY BRIEF OF WILD GOOSE STORAGE INC., </w:t>
      </w:r>
    </w:p>
    <w:p>
      <w:pPr>
        <w:pStyle w:val="BodyText"/>
        <w:jc w:val="center"/>
        <w:rPr>
          <w:b/>
        </w:rPr>
      </w:pPr>
      <w:r>
        <w:rPr>
          <w:b/>
        </w:rPr>
        <w:t xml:space="preserve">ENRON NORTH AMERICA CORP., AND </w:t>
      </w:r>
    </w:p>
    <w:p>
      <w:pPr>
        <w:pStyle w:val="BodyText"/>
        <w:jc w:val="center"/>
        <w:rPr>
          <w:b/>
        </w:rPr>
      </w:pPr>
      <w:r>
        <w:rPr>
          <w:b/>
        </w:rPr>
        <w:t>ENRON ENERGY SERVICES, INC.</w:t>
      </w:r>
    </w:p>
    <w:p>
      <w:pPr>
        <w:pStyle w:val="BodyText"/>
        <w:jc w:val="center"/>
        <w:rPr>
          <w:b/>
        </w:rPr>
      </w:pPr>
      <w:r>
        <w:rPr>
          <w:b/>
        </w:rPr>
      </w:r>
    </w:p>
    <w:p>
      <w:pPr>
        <w:pStyle w:val="BodyText"/>
        <w:ind w:hanging="0" w:end="0"/>
        <w:rPr>
          <w:b/>
        </w:rPr>
      </w:pPr>
      <w:r>
        <w:rPr>
          <w:b/>
        </w:rPr>
        <w:t>I.</w:t>
        <w:tab/>
        <w:t>INTRODUCTION</w:t>
      </w:r>
    </w:p>
    <w:p>
      <w:pPr>
        <w:pStyle w:val="BodyText"/>
        <w:ind w:hanging="0" w:end="0"/>
        <w:rPr/>
      </w:pPr>
      <w:r>
        <w:rPr/>
        <w:tab/>
        <w:tab/>
        <w:t>Enron North America Corp., Enron Energy Services, Inc. (collectively “Enron”), and Wild Goose Storage Inc. (“WGSI”) hereby reply to the briefs filed by TURN, the Southern California Generation Coalition (“SCGC”) and the City of Long Beach (“Long Beach”).</w:t>
      </w:r>
    </w:p>
    <w:p>
      <w:pPr>
        <w:pStyle w:val="BodyText"/>
        <w:ind w:hanging="0" w:end="0"/>
        <w:rPr/>
      </w:pPr>
      <w:r>
        <w:rPr/>
      </w:r>
    </w:p>
    <w:p>
      <w:pPr>
        <w:pStyle w:val="BodyText"/>
        <w:spacing w:lineRule="auto" w:line="240"/>
        <w:ind w:hanging="720" w:start="720" w:end="0"/>
        <w:rPr/>
      </w:pPr>
      <w:r>
        <w:rPr>
          <w:b/>
          <w:caps/>
        </w:rPr>
        <w:t>II.</w:t>
        <w:tab/>
        <w:t xml:space="preserve">THE ARGUMENTS OF THE SOUTHERN CALIFORNIA GENERATION COALITION ARE UNSUPPORTED BY THE RECORD, BASED UPON MISTAKEN PREMISES, AND DEVOID OF PROBATIVE VALUE. </w:t>
      </w:r>
    </w:p>
    <w:p>
      <w:pPr>
        <w:pStyle w:val="BodyText"/>
        <w:spacing w:lineRule="auto" w:line="240"/>
        <w:ind w:hanging="0" w:end="0"/>
        <w:rPr>
          <w:b/>
          <w:caps/>
        </w:rPr>
      </w:pPr>
      <w:r>
        <w:rPr>
          <w:b/>
          <w:caps/>
        </w:rPr>
      </w:r>
    </w:p>
    <w:p>
      <w:pPr>
        <w:pStyle w:val="BodyText"/>
        <w:rPr/>
      </w:pPr>
      <w:r>
        <w:rPr/>
        <w:t>The failed strategy of SCGC has been to characterize the Interim Settlement/Post Interim Settlement (“IS/PIS”) as a regulatory solution of equal weight and accomplishment as the Comprehensive Settlement Agreement (“CSA”).</w:t>
      </w:r>
      <w:r>
        <w:rPr>
          <w:rStyle w:val="FootnoteCharacters"/>
          <w:rStyle w:val="FootnoteReference"/>
        </w:rPr>
        <w:footnoteReference w:id="2"/>
      </w:r>
      <w:r>
        <w:rPr/>
        <w:t xml:space="preserve">  SCGC also attempts to catalogue a long list of benefits which derive from the IS/PIS.</w:t>
      </w:r>
      <w:r>
        <w:rPr>
          <w:rStyle w:val="FootnoteCharacters"/>
          <w:rStyle w:val="FootnoteReference"/>
        </w:rPr>
        <w:footnoteReference w:id="3"/>
      </w:r>
      <w:r>
        <w:rPr/>
        <w:t xml:space="preserve">  However, under scrutiny, none of the alleged benefits of the IS/PIS described by SCGC in their Opening Brief are revealed to be superior to alternative provisions in the CSA.  In fact, many of the claimed benefits are simply nonexistent.  As will be seen from the following discussion, in many cases, these alleged benefits are simply wishful thinking on the part of SCGC and are not supported by the record.</w:t>
      </w:r>
      <w:r>
        <w:rPr>
          <w:rStyle w:val="FootnoteCharacters"/>
          <w:rStyle w:val="FootnoteReference"/>
        </w:rPr>
        <w:footnoteReference w:id="4"/>
      </w:r>
    </w:p>
    <w:p>
      <w:pPr>
        <w:pStyle w:val="BodyText"/>
        <w:rPr>
          <w:b/>
        </w:rPr>
      </w:pPr>
      <w:r>
        <w:rPr>
          <w:b/>
        </w:rPr>
        <w:t>A.</w:t>
        <w:tab/>
        <w:t>TRANSMISSION</w:t>
      </w:r>
    </w:p>
    <w:p>
      <w:pPr>
        <w:pStyle w:val="BodyText"/>
        <w:ind w:start="720" w:end="0"/>
        <w:rPr>
          <w:b/>
          <w:u w:val="single"/>
        </w:rPr>
      </w:pPr>
      <w:r>
        <w:rPr>
          <w:b/>
        </w:rPr>
        <w:t>1.</w:t>
        <w:tab/>
      </w:r>
      <w:r>
        <w:rPr>
          <w:b/>
          <w:u w:val="single"/>
        </w:rPr>
        <w:t>Gas price competition under the CSA and the IS/PIS</w:t>
      </w:r>
    </w:p>
    <w:p>
      <w:pPr>
        <w:pStyle w:val="BodyText"/>
        <w:rPr/>
      </w:pPr>
      <w:r>
        <w:rPr/>
        <w:t>SCGC contends that the CSA will alter existing competition for natural gas sales at the border receipt points of SoCalGas.</w:t>
      </w:r>
      <w:r>
        <w:rPr>
          <w:rStyle w:val="FootnoteCharacters"/>
          <w:rStyle w:val="FootnoteReference"/>
        </w:rPr>
        <w:footnoteReference w:id="5"/>
      </w:r>
      <w:r>
        <w:rPr/>
        <w:t xml:space="preserve">  But, the CSA does not alter border price competition dynamics at all.  The same interstate capacity will reach the California border.  The same take-away capacity will exist on SoCalGas and the other utility systems which are interconnected to those pipelines at the border.  And the same degree of excess of capacity which exists today will exist at each of those interconnection points.  Gas will continue to be traded in a spirited manner at each of those border points – just as it is today.  The CSA merely provides an additional trading point for natural gas sales.  It is located at the true “citygate,” the intersection between SoCalGas’s distribution system and backbone transmission system. </w:t>
      </w:r>
      <w:r>
        <w:rPr>
          <w:rStyle w:val="FootnoteCharacters"/>
          <w:rStyle w:val="FootnoteReference"/>
        </w:rPr>
        <w:footnoteReference w:id="6"/>
      </w:r>
      <w:r>
        <w:rPr/>
        <w:t xml:space="preserve"> SCGC has not proved that the CSA will affect the existing degree of competition at each of these border receipt points.</w:t>
      </w:r>
    </w:p>
    <w:p>
      <w:pPr>
        <w:pStyle w:val="BodyText"/>
        <w:keepLines/>
        <w:widowControl/>
        <w:rPr/>
      </w:pPr>
      <w:r>
        <w:rPr/>
        <w:t>The fact that receipt point capacity will be allocated through an open season does not change the amount of the capacity, nor the fact that a wide variety of shippers will move gas through each of the various receipt points.  That is true today.  That will be true under the CSA as well.  The CSA provides additional market pricing points at the city gate, and contributes to additional competition; it does not diminish the existing level of competition taking place at the border receipt points.</w:t>
      </w:r>
      <w:r>
        <w:rPr>
          <w:rStyle w:val="FootnoteCharacters"/>
          <w:rStyle w:val="FootnoteReference"/>
        </w:rPr>
        <w:footnoteReference w:id="7"/>
      </w:r>
    </w:p>
    <w:p>
      <w:pPr>
        <w:pStyle w:val="BodyText"/>
        <w:ind w:start="720" w:end="0"/>
        <w:rPr>
          <w:b/>
          <w:u w:val="single"/>
        </w:rPr>
      </w:pPr>
      <w:r>
        <w:rPr>
          <w:b/>
        </w:rPr>
        <w:t>2.</w:t>
        <w:tab/>
      </w:r>
      <w:r>
        <w:rPr>
          <w:b/>
          <w:u w:val="single"/>
        </w:rPr>
        <w:t>Transmission Costs Will Not Increase Under the CSA</w:t>
      </w:r>
    </w:p>
    <w:p>
      <w:pPr>
        <w:pStyle w:val="BodyText"/>
        <w:rPr/>
      </w:pPr>
      <w:r>
        <w:rPr/>
        <w:t>SCGC claims that the IS/PIS avoids increasing unit transmission costs for customers by retaining volumetric charges.</w:t>
      </w:r>
      <w:r>
        <w:rPr>
          <w:rStyle w:val="FootnoteCharacters"/>
          <w:rStyle w:val="FootnoteReference"/>
        </w:rPr>
        <w:footnoteReference w:id="8"/>
      </w:r>
      <w:r>
        <w:rPr/>
        <w:t xml:space="preserve">  In fact, SCGC has failed to demonstrate any significant increase in transmission costs for customers, particularly Electric Generation customers.  As described in the opening briefs of  WGSI\Enron and  the Indicated Electric Generators, the reservation charge of which SCGC so vehemently complains represents an extremely small percentage of the delivered cost of gas for customers, including low load factor customers such as Electric Generators.</w:t>
      </w:r>
      <w:r>
        <w:rPr>
          <w:rStyle w:val="FootnoteCharacters"/>
          <w:rStyle w:val="FootnoteReference"/>
        </w:rPr>
        <w:footnoteReference w:id="9"/>
      </w:r>
      <w:r>
        <w:rPr/>
        <w:t xml:space="preserve">  As further indicated by the testimony of Indicated Electric Generators witness Tom Beach, an Electric Generator who  purchases gas on the interruptible market, using interruptible capacity, would experience a rate increase of six tenths of one percent (0.6%) over the course of a year.</w:t>
      </w:r>
      <w:r>
        <w:rPr>
          <w:rStyle w:val="FootnoteCharacters"/>
          <w:rStyle w:val="FootnoteReference"/>
        </w:rPr>
        <w:footnoteReference w:id="10"/>
      </w:r>
      <w:r>
        <w:rPr/>
        <w:t xml:space="preserve">  This is hardly sufficient to meet SCGC’s burden of proving the existence of a significant increase in transmission costs.</w:t>
      </w:r>
    </w:p>
    <w:p>
      <w:pPr>
        <w:pStyle w:val="BodyText"/>
        <w:rPr/>
      </w:pPr>
      <w:r>
        <w:rPr/>
        <w:t xml:space="preserve"> </w:t>
      </w:r>
      <w:r>
        <w:rPr/>
        <w:t>SCGC also errs by failing to take into account the many ways a generator or another customer might take advantage of new opportunities under the CSA to reduce costs by acquiring or selling capacity in the secondary market or by purchasing gas from the citygate.</w:t>
      </w:r>
      <w:r>
        <w:rPr>
          <w:rStyle w:val="FootnoteCharacters"/>
          <w:rStyle w:val="FootnoteReference"/>
        </w:rPr>
        <w:footnoteReference w:id="11"/>
      </w:r>
      <w:r>
        <w:rPr/>
        <w:t xml:space="preserve">  By completely ignoring the value which can be obtained in these markets, SCGC renders its “proof” of increased costs invalid.</w:t>
      </w:r>
    </w:p>
    <w:p>
      <w:pPr>
        <w:pStyle w:val="BodyText"/>
        <w:ind w:start="720" w:end="0"/>
        <w:rPr>
          <w:b/>
          <w:u w:val="single"/>
        </w:rPr>
      </w:pPr>
      <w:r>
        <w:rPr>
          <w:b/>
        </w:rPr>
        <w:t>3.</w:t>
        <w:tab/>
      </w:r>
      <w:r>
        <w:rPr>
          <w:b/>
          <w:u w:val="single"/>
        </w:rPr>
        <w:t>Transaction Costs Also Will Not Increase Under The CSA</w:t>
      </w:r>
    </w:p>
    <w:p>
      <w:pPr>
        <w:pStyle w:val="BodyText"/>
        <w:rPr/>
      </w:pPr>
      <w:r>
        <w:rPr/>
        <w:t>SCGC, joined by TURN, also claims that the IS/PIS avoids raising transaction costs for customers.</w:t>
      </w:r>
      <w:r>
        <w:rPr>
          <w:rStyle w:val="FootnoteCharacters"/>
          <w:rStyle w:val="FootnoteReference"/>
        </w:rPr>
        <w:footnoteReference w:id="12"/>
      </w:r>
      <w:r>
        <w:rPr/>
        <w:t xml:space="preserve">  SCGC and TURN have completely failed to provide credible evidence of any meaningful increase in transaction costs other than to speculate about their existence.  SCGC witness Yap talked about the possibility that shippers might have to add an employee to manage such issues, but was unable to describe in detail or with any accuracy, the ability of her own clients (the members of the SCGC) to manage natural gas and electric marketing at the present time.</w:t>
      </w:r>
      <w:r>
        <w:rPr>
          <w:rStyle w:val="FootnoteCharacters"/>
          <w:rStyle w:val="FootnoteReference"/>
        </w:rPr>
        <w:footnoteReference w:id="13"/>
      </w:r>
      <w:r>
        <w:rPr/>
        <w:t xml:space="preserve">  In fact, both Reliant Energy and Williams Energy Services hold themselves out to the public as active gas and electric marketers.</w:t>
      </w:r>
      <w:r>
        <w:rPr>
          <w:rStyle w:val="FootnoteCharacters"/>
          <w:rStyle w:val="FootnoteReference"/>
        </w:rPr>
        <w:footnoteReference w:id="14"/>
      </w:r>
      <w:r>
        <w:rPr/>
        <w:t xml:space="preserve">  TURN witness Florio testified to Williams’ status as a gas marketer serving generation and as an electric marketer selling the output of generation owned by others.</w:t>
      </w:r>
      <w:r>
        <w:rPr>
          <w:rStyle w:val="FootnoteCharacters"/>
          <w:rStyle w:val="FootnoteReference"/>
        </w:rPr>
        <w:footnoteReference w:id="15"/>
      </w:r>
      <w:r>
        <w:rPr/>
        <w:t xml:space="preserve">  Given the fact that Reliant and Williams are already active gas and electric marketers in California, they presumably are already staffed to manage these types of transactions.  The SCGC witness had no idea of their clients’ capabilities in this area.</w:t>
      </w:r>
      <w:r>
        <w:rPr>
          <w:rStyle w:val="FootnoteCharacters"/>
          <w:rStyle w:val="FootnoteReference"/>
        </w:rPr>
        <w:footnoteReference w:id="16"/>
      </w:r>
      <w:r>
        <w:rPr/>
        <w:t xml:space="preserve">  </w:t>
      </w:r>
    </w:p>
    <w:p>
      <w:pPr>
        <w:pStyle w:val="BodyText"/>
        <w:rPr/>
      </w:pPr>
      <w:r>
        <w:rPr/>
        <w:t>In any event, there is no definitive proof in the record that any party would actually have to hire any new personnel in order to take advantage of capacity right trading on the SoCalGas system.  Even the smaller municipal utilities such as the City of Glendale, already have the ability to purchase intrastate pipeline capacity and to manage that capacity on a permanent basis.</w:t>
      </w:r>
      <w:r>
        <w:rPr>
          <w:rStyle w:val="FootnoteCharacters"/>
          <w:rStyle w:val="FootnoteReference"/>
        </w:rPr>
        <w:footnoteReference w:id="17"/>
      </w:r>
      <w:r>
        <w:rPr/>
        <w:t xml:space="preserve">  Without more, SCGC is simply unable to demonstrate to the Commission that additional manpower is required.  The sole reference relied upon by witness Yap was a reference to a comment made by the City of Redding in a proceeding two years ago.</w:t>
      </w:r>
      <w:r>
        <w:rPr>
          <w:rStyle w:val="FootnoteCharacters"/>
          <w:rStyle w:val="FootnoteReference"/>
        </w:rPr>
        <w:footnoteReference w:id="18"/>
      </w:r>
      <w:r>
        <w:rPr/>
        <w:t xml:space="preserve">  Both SCGC and TURN have repeatedly trumpeted about transaction costs, but this, ultimately, is mere puffery that cannot support the rhetorical claim of harm.</w:t>
      </w:r>
    </w:p>
    <w:p>
      <w:pPr>
        <w:pStyle w:val="BodyText"/>
        <w:keepNext w:val="true"/>
        <w:ind w:start="720" w:end="0"/>
        <w:rPr>
          <w:b/>
        </w:rPr>
      </w:pPr>
      <w:r>
        <w:rPr>
          <w:b/>
        </w:rPr>
        <w:t>4.</w:t>
        <w:tab/>
      </w:r>
      <w:r>
        <w:rPr>
          <w:b/>
          <w:u w:val="single"/>
        </w:rPr>
        <w:t>Is the Window Closed Or Not?</w:t>
      </w:r>
    </w:p>
    <w:p>
      <w:pPr>
        <w:pStyle w:val="BodyText"/>
        <w:widowControl/>
        <w:tabs>
          <w:tab w:val="clear" w:pos="720"/>
          <w:tab w:val="left" w:pos="0" w:leader="none"/>
        </w:tabs>
        <w:ind w:firstLine="2160" w:end="0"/>
        <w:rPr/>
      </w:pPr>
      <w:r>
        <w:rPr/>
        <w:t>SCGC cites as a benefit of the IS/PIS the fact that it eliminates SoCalGas’ current “windowing” process, thereby enhancing the ability of shippers to nominate or change nominations for gas deliveries.</w:t>
      </w:r>
      <w:r>
        <w:rPr>
          <w:rStyle w:val="FootnoteCharacters"/>
          <w:rStyle w:val="FootnoteReference"/>
        </w:rPr>
        <w:footnoteReference w:id="19"/>
      </w:r>
      <w:r>
        <w:rPr/>
        <w:t xml:space="preserve">  SCGC’s concept of improving nomination procedures for customers is illusory.  Elimination of the windowing process currently in use by SoCalGas simply means SoCalGas will accept nominations up to the firm physical capacity of its receipt points.  Under this scenario, customers would have very little additional certainty that their gas would flow because the process of windowing down nominations to meet those capacity limitations would fall to the upstream interstate pipelines rather than to SoCalGas itself.</w:t>
      </w:r>
      <w:r>
        <w:rPr>
          <w:rStyle w:val="FootnoteCharacters"/>
          <w:rStyle w:val="FootnoteReference"/>
        </w:rPr>
        <w:footnoteReference w:id="20"/>
      </w:r>
      <w:r>
        <w:rPr/>
        <w:t xml:space="preserve">  It would still be true that a customer would  be unaware whether a large nomination by another customer will cause its own nominations to be prorated or reduced on any given day until the final gas day nominations are in.</w:t>
      </w:r>
      <w:r>
        <w:rPr>
          <w:rStyle w:val="FootnoteCharacters"/>
          <w:rStyle w:val="FootnoteReference"/>
        </w:rPr>
        <w:footnoteReference w:id="21"/>
      </w:r>
      <w:r>
        <w:rPr/>
        <w:t xml:space="preserve">  This will not happen under the CSA, where firm intrastate capacity rights will be allocated to customers using the open season and secondary market procedures.</w:t>
      </w:r>
      <w:r>
        <w:rPr>
          <w:rStyle w:val="FootnoteCharacters"/>
          <w:rStyle w:val="FootnoteReference"/>
        </w:rPr>
        <w:footnoteReference w:id="22"/>
      </w:r>
    </w:p>
    <w:p>
      <w:pPr>
        <w:pStyle w:val="BodyText"/>
        <w:rPr/>
      </w:pPr>
      <w:r>
        <w:rPr/>
        <w:t>This is a critical point because SCGC falsely relies on these claims of equivalent or superior capacity rights for shippers on the SoCalGas system.  If, in fact, a customer knows precisely  its rights to move its gas through the delivery point, then it can acquire an equivalent amount of firm intrastate capacity, and can be certain that its gas will move through the border receipt point.  At that point, there will be no further windowing necessary, and the customer will receive its gas at the burnertip.</w:t>
      </w:r>
    </w:p>
    <w:p>
      <w:pPr>
        <w:pStyle w:val="BodyText"/>
        <w:ind w:start="720" w:end="0"/>
        <w:rPr>
          <w:b/>
        </w:rPr>
      </w:pPr>
      <w:r>
        <w:rPr>
          <w:b/>
        </w:rPr>
        <w:t>5.</w:t>
        <w:tab/>
      </w:r>
      <w:r>
        <w:rPr>
          <w:b/>
          <w:u w:val="single"/>
        </w:rPr>
        <w:t>New Receipt Points and Expanded Receipt Points</w:t>
      </w:r>
    </w:p>
    <w:p>
      <w:pPr>
        <w:pStyle w:val="BodyText"/>
        <w:rPr/>
      </w:pPr>
      <w:r>
        <w:rPr/>
        <w:t>The IS/PIS establishes Hector Road as a formal receipt point on the SoCalGas’ system.</w:t>
      </w:r>
      <w:r>
        <w:rPr>
          <w:rStyle w:val="FootnoteCharacters"/>
          <w:rStyle w:val="FootnoteReference"/>
        </w:rPr>
        <w:footnoteReference w:id="23"/>
      </w:r>
      <w:r>
        <w:rPr/>
        <w:t xml:space="preserve">  But, the same is true of the CSA.</w:t>
      </w:r>
      <w:r>
        <w:rPr>
          <w:rStyle w:val="FootnoteCharacters"/>
          <w:rStyle w:val="FootnoteReference"/>
        </w:rPr>
        <w:footnoteReference w:id="24"/>
      </w:r>
      <w:r>
        <w:rPr/>
        <w:t xml:space="preserve">  There is no advantage to the interim settlement from this particular reform. </w:t>
      </w:r>
    </w:p>
    <w:p>
      <w:pPr>
        <w:pStyle w:val="BodyText"/>
        <w:rPr/>
      </w:pPr>
      <w:r>
        <w:rPr/>
        <w:t>The IS/PIS provides a mechanism to trigger additional investments by SoCalGas to increase capacity for the receipt of gas it will accept at Wheeler Ridge.  This alleged “benefit” is, in fact, an extremely controversial point.  Many customers strongly oppose the notion of rolled-in rate treatment for an interconnection expansion at any particular receipt point.  It is also discriminatory to provide rolled-in rate treatment to increase capacity at one receipt point and not at others where customers may also wish to have additional capacity.  This is not an advantage for the TURN/SCGC settlement, but a disadvantage.</w:t>
      </w:r>
      <w:r>
        <w:br w:type="page"/>
      </w:r>
    </w:p>
    <w:p>
      <w:pPr>
        <w:pStyle w:val="BodyText"/>
        <w:rPr>
          <w:b/>
        </w:rPr>
      </w:pPr>
      <w:r>
        <w:rPr>
          <w:b/>
        </w:rPr>
      </w:r>
    </w:p>
    <w:p>
      <w:pPr>
        <w:pStyle w:val="BodyText"/>
        <w:keepNext w:val="true"/>
        <w:spacing w:lineRule="auto" w:line="240"/>
        <w:ind w:hanging="720" w:start="2880" w:end="0"/>
        <w:rPr/>
      </w:pPr>
      <w:r>
        <w:rPr>
          <w:b/>
        </w:rPr>
        <w:t>6.</w:t>
        <w:tab/>
      </w:r>
      <w:r>
        <w:rPr>
          <w:b/>
          <w:u w:val="single"/>
        </w:rPr>
        <w:t>Delay in Unbundling Transmission is Completely Unwarranted</w:t>
      </w:r>
      <w:r>
        <w:rPr>
          <w:u w:val="single"/>
        </w:rPr>
        <w:t xml:space="preserve"> </w:t>
      </w:r>
    </w:p>
    <w:p>
      <w:pPr>
        <w:pStyle w:val="BodyText"/>
        <w:spacing w:lineRule="auto" w:line="240"/>
        <w:ind w:hanging="720" w:start="2880" w:end="0"/>
        <w:rPr>
          <w:i/>
          <w:i/>
          <w:u w:val="single"/>
        </w:rPr>
      </w:pPr>
      <w:r>
        <w:rPr>
          <w:i/>
          <w:u w:val="single"/>
        </w:rPr>
      </w:r>
    </w:p>
    <w:p>
      <w:pPr>
        <w:pStyle w:val="BodyText"/>
        <w:rPr/>
      </w:pPr>
      <w:r>
        <w:rPr/>
        <w:t>SCGC claims as a benefit of the IS/PIS the fact that it prohibits backbone transmission unbundling until September 1, 2006.</w:t>
      </w:r>
      <w:r>
        <w:rPr>
          <w:rStyle w:val="FootnoteCharacters"/>
          <w:rStyle w:val="FootnoteReference"/>
        </w:rPr>
        <w:footnoteReference w:id="25"/>
      </w:r>
      <w:r>
        <w:rPr/>
        <w:t xml:space="preserve">  SCGC believes this prevents the creation of transmission bottlenecks.</w:t>
      </w:r>
      <w:r>
        <w:rPr>
          <w:rStyle w:val="FootnoteCharacters"/>
          <w:rStyle w:val="FootnoteReference"/>
        </w:rPr>
        <w:footnoteReference w:id="26"/>
      </w:r>
      <w:r>
        <w:rPr/>
        <w:t xml:space="preserve">  But there is no record evidence to support SCGC’s contentions that the unbundling of transmission rights will create a bottleneck on the intrastate transmission system of SoCalGas.  Delaying unbundling until 2006 merely forces California to endure six years of frustration during which the State will have substantial differences between the transportation rights available to customers in Northern and Southern California.  Also, this inconsistent system will create additional transaction costs and confusion for shippers serving both portions of the State.  It will also perpetuate an unfair allocation of costs to customers by continuing the current policy of placing the risk of uncontracted transmission capacity partly on customers as well as denying customers the ability to obtain firm transportation rights.  Most importantly, delay will force customers to wait for years to reap the benefits and efficiencies of the secondary markets.  Under the CSA, the utility is 100% responsible for uncontracted capacity.</w:t>
      </w:r>
      <w:r>
        <w:rPr>
          <w:rStyle w:val="FootnoteCharacters"/>
          <w:rStyle w:val="FootnoteReference"/>
        </w:rPr>
        <w:footnoteReference w:id="27"/>
      </w:r>
      <w:r>
        <w:rPr/>
        <w:t xml:space="preserve">  This extremely important protection for transmission customers is never directly addressed by SCGC, presumably because the retention of the 75%-25% risk sharing by the IS/PIS is so obviously less beneficial to customers.</w:t>
      </w:r>
      <w:r>
        <w:rPr>
          <w:b/>
        </w:rPr>
        <w:t xml:space="preserve"> </w:t>
      </w:r>
    </w:p>
    <w:p>
      <w:pPr>
        <w:pStyle w:val="BodyText"/>
        <w:spacing w:lineRule="auto" w:line="240"/>
        <w:ind w:hanging="720" w:start="2880" w:end="0"/>
        <w:rPr>
          <w:b/>
          <w:u w:val="single"/>
        </w:rPr>
      </w:pPr>
      <w:r>
        <w:rPr>
          <w:b/>
        </w:rPr>
        <w:t>7.</w:t>
        <w:tab/>
      </w:r>
      <w:r>
        <w:rPr>
          <w:b/>
          <w:u w:val="single"/>
        </w:rPr>
        <w:t>Allocation of Non-Core Revenue Risk Between Shareholders and Ratepayers</w:t>
      </w:r>
    </w:p>
    <w:p>
      <w:pPr>
        <w:pStyle w:val="BodyText"/>
        <w:spacing w:lineRule="auto" w:line="240"/>
        <w:ind w:hanging="720" w:start="2880" w:end="0"/>
        <w:rPr>
          <w:b/>
          <w:u w:val="single"/>
        </w:rPr>
      </w:pPr>
      <w:r>
        <w:rPr>
          <w:b/>
          <w:u w:val="single"/>
        </w:rPr>
      </w:r>
    </w:p>
    <w:p>
      <w:pPr>
        <w:pStyle w:val="BodyText"/>
        <w:rPr/>
      </w:pPr>
      <w:r>
        <w:rPr/>
        <w:t>SCGC claims the IS/PIS maintains the allocation of non-core revenue risks adopted in the BCAP proceeding.</w:t>
      </w:r>
      <w:r>
        <w:rPr>
          <w:rStyle w:val="FootnoteCharacters"/>
          <w:rStyle w:val="FootnoteReference"/>
        </w:rPr>
        <w:footnoteReference w:id="28"/>
      </w:r>
      <w:r>
        <w:rPr/>
        <w:t xml:space="preserve">  This is hardly a plus.  The BCAP proceeding method places an onerous and unfair burden on ratepayers.  It also represents a significant policy change and a radical departure from established Commission views as articulated in the SoCal Global Settlement,</w:t>
      </w:r>
      <w:r>
        <w:rPr>
          <w:rStyle w:val="FootnoteCharacters"/>
          <w:rStyle w:val="FootnoteReference"/>
        </w:rPr>
        <w:footnoteReference w:id="29"/>
      </w:r>
      <w:r>
        <w:rPr/>
        <w:t xml:space="preserve"> the PG&amp;E Gas Accord,</w:t>
      </w:r>
      <w:r>
        <w:rPr>
          <w:rStyle w:val="FootnoteCharacters"/>
          <w:rStyle w:val="FootnoteReference"/>
        </w:rPr>
        <w:footnoteReference w:id="30"/>
      </w:r>
      <w:r>
        <w:rPr/>
        <w:t xml:space="preserve"> and the Pacific Enterprises/Enova merger.</w:t>
      </w:r>
      <w:r>
        <w:rPr>
          <w:rStyle w:val="FootnoteCharacters"/>
          <w:rStyle w:val="FootnoteReference"/>
        </w:rPr>
        <w:footnoteReference w:id="31"/>
      </w:r>
      <w:r>
        <w:rPr/>
        <w:t xml:space="preserve">  This method of placing the utility at risk for non-core throughout and adopting a 75/25 sharing of risk between ratepayers and shareholder through a balancing account should not be supported. </w:t>
      </w:r>
    </w:p>
    <w:p>
      <w:pPr>
        <w:pStyle w:val="BodyText"/>
        <w:rPr/>
      </w:pPr>
      <w:r>
        <w:rPr/>
        <w:t xml:space="preserve">The Commission should not perpetuate the balancing account method which places such a heavy financial burden on ratepayers, but should instead support the CSA, which would place the utility 100% at risk for uncontracted transmission capacity. </w:t>
      </w:r>
      <w:r>
        <w:rPr>
          <w:rStyle w:val="FootnoteCharacters"/>
          <w:rStyle w:val="FootnoteReference"/>
        </w:rPr>
        <w:footnoteReference w:id="32"/>
      </w:r>
      <w:r>
        <w:rPr/>
        <w:t xml:space="preserve"> The fact that the IS/PIS adopts the same result as the BCAP is no argument in favor of its retention.  The Gas Restructuring Investigation is a major statewide ratemaking policy proceeding that should take precedence over any provision of the recent BCAP decision.</w:t>
      </w:r>
    </w:p>
    <w:p>
      <w:pPr>
        <w:pStyle w:val="BodyText"/>
        <w:ind w:start="720" w:end="0"/>
        <w:rPr>
          <w:b/>
        </w:rPr>
      </w:pPr>
      <w:r>
        <w:rPr>
          <w:b/>
        </w:rPr>
        <w:t>8.</w:t>
        <w:tab/>
      </w:r>
      <w:r>
        <w:rPr>
          <w:b/>
          <w:u w:val="single"/>
        </w:rPr>
        <w:t>SCGC’s Bottleneck Argument is Fatally Flawed</w:t>
      </w:r>
    </w:p>
    <w:p>
      <w:pPr>
        <w:pStyle w:val="BodyText"/>
        <w:rPr/>
      </w:pPr>
      <w:r>
        <w:rPr/>
        <w:t xml:space="preserve">Once and for all, Enron and WGSI shall put to rest the argument of SCGC and TURN that there is some sort of bottleneck created at the citygate where the intrastate backbone transmission system meets SoCalGas’ distribution system in an unbundled environment.  This argument appears on pages 13, and 20-26 of the SCGC Opening Brief.  First of all, the CSA does not change the physical capacities or the current demand on the SoCalGas system.  The same amount of gas is required by the same amount of customers; the same amount of pipe capacity exists to move the nominated gas to the delivery points; and the fact that there is a new means of contracting for transmission rights does not change the fact that the system still has substantial slack capacity to move natural gas as it exists today.  As indicated by the load factor adopted in last year’s SoCalGas BCAP, the average annual load factor on the SoCalGas system was approximately 75%, indicating that there is a substantial amount of additional capacity on the intrastate system which is not needed on a daily basis.  </w:t>
      </w:r>
    </w:p>
    <w:p>
      <w:pPr>
        <w:pStyle w:val="BodyText"/>
        <w:rPr/>
      </w:pPr>
      <w:r>
        <w:rPr/>
        <w:t>In addition, SCGC’s witness Yap’s calculations regarding a bottleneck, completely failed to take into account the deliverability from SoCalGas storage.</w:t>
      </w:r>
      <w:r>
        <w:rPr>
          <w:rStyle w:val="FootnoteCharacters"/>
          <w:rStyle w:val="FootnoteReference"/>
        </w:rPr>
        <w:footnoteReference w:id="33"/>
      </w:r>
      <w:r>
        <w:rPr/>
        <w:t xml:space="preserve">  As was testified to by SoCalGas witness Lorenz, SoCalGas can deliver over 5 Bcf of gas on a given day at the citygate using a deliverability from its storage instead of the merely 3.5 Bcf intrastate capacity it has.</w:t>
      </w:r>
      <w:r>
        <w:rPr>
          <w:rStyle w:val="FootnoteCharacters"/>
          <w:rStyle w:val="FootnoteReference"/>
        </w:rPr>
        <w:footnoteReference w:id="34"/>
      </w:r>
      <w:r>
        <w:rPr/>
        <w:t xml:space="preserve">  This quantity is nearly twice what is required to serve SoCalGas’ customers and results in the conclusion there cannot possibly be a physical bottleneck at the intersection of the intrastate backbone transmission system and the distribution system because the withdrawals from storage deliver right into the citygate and do not require additional intrastate transmission to be introduced into the system.</w:t>
      </w:r>
    </w:p>
    <w:p>
      <w:pPr>
        <w:pStyle w:val="BodyText"/>
        <w:rPr/>
      </w:pPr>
      <w:r>
        <w:rPr/>
        <w:t>It is equally true that there is no possibility of market power at the so-called “bottleneck” in the sense that the CSA has provided for numerous mechanisms to ensure that no particular customers shippers or marketers will acquire excess market power on the intrastate transmission system.  It is worth reviewing all the steps that have been provided for to prevent this concentration of market power and to clarify that SCGC and TURN are completely in error in asserting that there is a market power problem associated with the allocation of intrastate capacity.  First, customers, including Electric Generators, do not have to assign their rights to bid for intrastate capacity to any marketer before the open season.</w:t>
      </w:r>
      <w:r>
        <w:rPr>
          <w:rStyle w:val="FootnoteCharacters"/>
          <w:rStyle w:val="FootnoteReference"/>
        </w:rPr>
        <w:footnoteReference w:id="35"/>
      </w:r>
      <w:r>
        <w:rPr/>
        <w:t xml:space="preserve">  They may do so, and many already assign their capacity to marketers, but for the moment let us assume that the customer retains his bidding rights.  Second, customers, including the Generators, get two rounds of bidding within the open season to acquire as much capacity as they require out of a pool of capacity equal to 50% of the non-core capacity which remains after the core demand is met at each receipt point.</w:t>
      </w:r>
      <w:r>
        <w:rPr>
          <w:rStyle w:val="FootnoteCharacters"/>
          <w:rStyle w:val="FootnoteReference"/>
        </w:rPr>
        <w:footnoteReference w:id="36"/>
      </w:r>
      <w:r>
        <w:rPr/>
        <w:t xml:space="preserve">  If, as was the case on the PG&amp;E system, a large number of industrial customers and other non-core customers do not choose to contract for firm capacity, this increases the chance that a customer who does want firm capacity, like an electric generator, can acquire all the firm capacity that it desires in one of these two first rounds in the open season.</w:t>
      </w:r>
    </w:p>
    <w:p>
      <w:pPr>
        <w:pStyle w:val="BodyText"/>
        <w:rPr/>
      </w:pPr>
      <w:r>
        <w:rPr/>
        <w:t xml:space="preserve"> </w:t>
      </w:r>
      <w:r>
        <w:rPr/>
        <w:t>In addition, customers get one additional round of bidding in the third stage of the open season to bid against all comers for the remaining 50% of the non-core capacity at each receipt point.</w:t>
      </w:r>
      <w:r>
        <w:rPr>
          <w:rStyle w:val="FootnoteCharacters"/>
          <w:rStyle w:val="FootnoteReference"/>
        </w:rPr>
        <w:footnoteReference w:id="37"/>
      </w:r>
      <w:r>
        <w:rPr/>
        <w:t xml:space="preserve">  This ensures that existing customers get three chances, compared to one chance for marketers, to acquire capacity, and because of the prorating of capacity when there is oversubscription at any given receipt point, customers can be assured that even at the most highly valued receipt points, they will acquire some capacity.  This will give them significant leverage in the secondary market.</w:t>
      </w:r>
    </w:p>
    <w:p>
      <w:pPr>
        <w:pStyle w:val="BodyText"/>
        <w:rPr/>
      </w:pPr>
      <w:r>
        <w:rPr/>
        <w:t>Even if a customer is unsuccessful in getting 100% of the firm capacity it desires in the first three stages of the open season, it may still acquire capacity on a firm basis, in either the as-available market or the secondary market.  SoCalGas, as has been noted previously, has a strong financial incentive to sell as much as available capacity as possible, in order to insure it recovers its costs for the intrastate transmission system.  SoCalGas’ shareholders remain 100% at risk for uncontracted capacity under the CSA.</w:t>
      </w:r>
      <w:r>
        <w:rPr>
          <w:rStyle w:val="FootnoteCharacters"/>
          <w:rStyle w:val="FootnoteReference"/>
        </w:rPr>
        <w:footnoteReference w:id="38"/>
      </w:r>
      <w:r>
        <w:rPr/>
        <w:t xml:space="preserve">  As noted previously, that is not true under the competing IS/PIS settlement.  The secondary market also promises to be an extremely active and liquid market, in the sense that parties with widely differing strategies for acquiring capacity will be buying capacity in the open season and seeking to lay-off unneeded excess capacity in the secondary market.  Other parties also will be seeking to acquire capacity to match their needs.   It is very likely that a large number of customers will seek to acquire additional capacity in the secondary market from time to time, and those parties who have firm rights will be able to market them as their own demands permit.</w:t>
      </w:r>
    </w:p>
    <w:p>
      <w:pPr>
        <w:pStyle w:val="BodyText"/>
        <w:rPr/>
      </w:pPr>
      <w:r>
        <w:rPr/>
        <w:t>In addition, there will be at least one open season each year as the capacity which was only contracted for a period of one year comes up for reallocation and rebidding under the open season.</w:t>
      </w:r>
      <w:r>
        <w:rPr>
          <w:rStyle w:val="FootnoteCharacters"/>
          <w:rStyle w:val="FootnoteReference"/>
        </w:rPr>
        <w:footnoteReference w:id="39"/>
      </w:r>
      <w:r>
        <w:rPr/>
        <w:t xml:space="preserve">  This provides yet another means for customers, including electric generators to supplement their capacity requirements.  </w:t>
      </w:r>
    </w:p>
    <w:p>
      <w:pPr>
        <w:pStyle w:val="BodyText"/>
        <w:rPr/>
      </w:pPr>
      <w:r>
        <w:rPr/>
        <w:t xml:space="preserve">Another tool to be used to prevent market power is the 40% market concentration limitation which insures that no shipper can acquire more than 40% of the non-core receipt point capacity at any given receipt point  in the open season process.  No marketer can unilaterally  acquire more capacity than that quantity under the open season process. </w:t>
      </w:r>
      <w:r>
        <w:rPr>
          <w:rStyle w:val="FootnoteCharacters"/>
          <w:rStyle w:val="FootnoteReference"/>
        </w:rPr>
        <w:footnoteReference w:id="40"/>
      </w:r>
      <w:r>
        <w:rPr/>
        <w:t xml:space="preserve">  It is possible that other firm rights holders may sell such a party more capacity in the secondary market, but they would presumably not do so if concerned that the sale would endow excess market power on the marketer in questions.  Such sales are completely voluntary.</w:t>
      </w:r>
    </w:p>
    <w:p>
      <w:pPr>
        <w:pStyle w:val="BodyText"/>
        <w:rPr/>
      </w:pPr>
      <w:r>
        <w:rPr/>
        <w:t xml:space="preserve"> </w:t>
      </w:r>
      <w:r>
        <w:rPr/>
        <w:t xml:space="preserve">Finally, all customers, including electric generators, can acquire gas to meet their requirements at the citygate.  In so doing, they completely avoid demand charges for firm capacity, and they avoid the necessity to trade in the as-available and secondary markets in order to acquire capacity.  As has been seen in the PG&amp;E system, this strategy of buying at the citygate has frequently proven advantageous as the firm capacity rights holders are willing to discount the costs of gas at the citygate.  </w:t>
      </w:r>
    </w:p>
    <w:p>
      <w:pPr>
        <w:pStyle w:val="BodyText"/>
        <w:rPr/>
      </w:pPr>
      <w:r>
        <w:rPr/>
        <w:t>In examining the capacity allocation methods proposed in the hearings, it is clear that the CSA, while a compromise settlement, provides a balanced and measured capacity allocation program upon which the Commission and customers can rely.</w:t>
      </w:r>
      <w:r>
        <w:rPr>
          <w:rStyle w:val="FootnoteCharacters"/>
          <w:rStyle w:val="FootnoteReference"/>
        </w:rPr>
        <w:footnoteReference w:id="41"/>
      </w:r>
      <w:r>
        <w:rPr/>
        <w:t xml:space="preserve">  In contrast, the SCGC proposal simply does nothing and leaves all parties in the “let’s nominate what we think will work and try to fix the problem on the day the gas has to move” approach.  Such an approach does not give customers the ability to rely on firm capacity, nor does it give customers the ability to plan coherently for the movement of their gas.  Instead, it continues an uncertain systems which leaves customers at the mercy of nomination prorationing decisions by either the gas company or intrastate pipelines. </w:t>
      </w:r>
    </w:p>
    <w:p>
      <w:pPr>
        <w:pStyle w:val="BodyText"/>
        <w:rPr/>
      </w:pPr>
      <w:r>
        <w:rPr/>
        <w:t>The CSA settlement, on the other hand, supplies customers with substantial certainty and allows them to obtain firm capacity and to rationally plan for the resources needed to acquire the gas that they require.  It does so in a manner that provides assurances to customers that they will have a fair opportunity to acquire capacity and will not be subject to excessive market power on the part of marketers or any other party.</w:t>
      </w:r>
      <w:r>
        <w:rPr>
          <w:rStyle w:val="FootnoteCharacters"/>
          <w:rStyle w:val="FootnoteReference"/>
        </w:rPr>
        <w:footnoteReference w:id="42"/>
      </w:r>
      <w:r>
        <w:rPr/>
        <w:t xml:space="preserve">  The CSA settlement is intentionally balanced in this fashion so that it reassures customers but allows the market to function, and also provides accurate pricing through a secondary market.  Given the Commission’s desire to have the parties reach a settlement on the comprehensive framework of natural gas restructuring, an intrastate capacity method would have to meet all these requirements.  The CSA does so.  None of the other capacity allocation proposals placed before the Commission in this proceeding do.  </w:t>
      </w:r>
    </w:p>
    <w:p>
      <w:pPr>
        <w:pStyle w:val="BodyText"/>
        <w:rPr/>
      </w:pPr>
      <w:r>
        <w:rPr/>
        <w:t>When all is said and done, there is simply no substance left in SCGC’s bottleneck argument.  The system will continue to have at least 5.3 Bcf of deliverability available at the citygate, compared to 2.7 Bcf of average load.  The CSA open season process is structured to prevent the accumulation of market power while allowing market forces to work.  The SCGC’s brief is peppered with other arguments which attempt to frighten the Commission regarding the working of the CSA settlement in regards to intrastate capacity,</w:t>
      </w:r>
      <w:r>
        <w:rPr>
          <w:rStyle w:val="FootnoteCharacters"/>
          <w:rStyle w:val="FootnoteReference"/>
        </w:rPr>
        <w:footnoteReference w:id="43"/>
      </w:r>
      <w:r>
        <w:rPr/>
        <w:t xml:space="preserve"> but all of these are either speculative or nonsensical.</w:t>
      </w:r>
    </w:p>
    <w:p>
      <w:pPr>
        <w:pStyle w:val="BodyText"/>
        <w:widowControl/>
        <w:rPr/>
      </w:pPr>
      <w:r>
        <w:rPr/>
        <w:t xml:space="preserve">In SCGC's brief, there is also a related assertion that the open season system and unbundled intrastate capacity will result in a dramatically lower level reliability.  There is no evidence to support this assertion. </w:t>
      </w:r>
      <w:r>
        <w:rPr>
          <w:rStyle w:val="FootnoteCharacters"/>
          <w:rStyle w:val="FootnoteReference"/>
        </w:rPr>
        <w:footnoteReference w:id="44"/>
      </w:r>
      <w:r>
        <w:rPr/>
        <w:t xml:space="preserve">  Indeed, there is a substantially greater reliability under the CSA proposal because customers will have access to firm intrastate capacity rights that they do not have under the existing proposal.  Even SCGC’s argument about the slack capacity on the interstate system leading to the California border makes no sense in the context of an evaluation of the CSA.  Excess interstate capacity over and above the take away capacity within California is unable to help deliver a single extra Mcf of gas during any peak period.  Excess capacity at the border can have an effect on the price of gas at the border, but as has been demonstrated above, given the 5.3 Bcf of deliverability at the citygate compared to 2.7 Bcf average throughput on the SoCalGas system, there is an equally large excess deliverability at the citygate.   This same amount of excess deliverability will remain after the implementation of the CSA.  Thus, there is no truth to any argument made by SCGC that there will be a less price competition or higher prices at the citygate.  The numbers simply don’t add up to support the bottleneck argument made by SCGC.  </w:t>
      </w:r>
    </w:p>
    <w:p>
      <w:pPr>
        <w:pStyle w:val="BodyText"/>
        <w:keepLines/>
        <w:widowControl/>
        <w:rPr/>
      </w:pPr>
      <w:r>
        <w:rPr/>
        <w:t>Perhaps most nonsensical of all, is the assertion of SCGC that, under the CSA, control over intrastate capacity is "wrested from customers and put into the hands of third parties…."</w:t>
      </w:r>
      <w:r>
        <w:rPr>
          <w:rStyle w:val="FootnoteCharacters"/>
          <w:rStyle w:val="FootnoteReference"/>
        </w:rPr>
        <w:footnoteReference w:id="45"/>
      </w:r>
      <w:r>
        <w:rPr/>
        <w:t xml:space="preserve">  These third parties are, in fact, customers, including the members of SCGC.  And their control over intrastate capacity, rather than being wrested from these customers, is first placed into their hands by the CSA because prior to this time these customers had no rights to this capacity, they only had the right to nominate gas on a daily basis and then see how much of it the interstate pipelines and SoCalGas would permit to come through the delivery points. </w:t>
      </w:r>
    </w:p>
    <w:p>
      <w:pPr>
        <w:pStyle w:val="BodyText"/>
        <w:rPr/>
      </w:pPr>
      <w:r>
        <w:rPr/>
        <w:t xml:space="preserve">It is essential that the Commission appreciate the benefits of capacity allocation under the CSA, in sharp contrast to the do nothing approach of the IS/PIS.  This is perhaps the most critical difference between the two settlements, and the key to the resolution of this proceeding.  If the Commission wants to see customers have firm capacity rights and the ability to take control over the resources that they require to obtain gas for their end users, the CSA is the only real choice.  Adoption of the IS/PIS ensures that customers will continue to flounder without firm rights under the same system they have today, and any other attempts to unbundle storage or balancing will be frustrated by the inability to match those capacity resources with unbundled intrastate transmission capacity.  In contrast, if the Commission concludes that Southern California should have unbundled intrastate capacity storage and balancing under a system relatively similar to that adopted for the PG&amp;E system, then the IS/PIS must be, as it should be, rejected out of hand. </w:t>
      </w:r>
    </w:p>
    <w:p>
      <w:pPr>
        <w:pStyle w:val="BodyText"/>
        <w:keepNext w:val="true"/>
        <w:ind w:start="720" w:end="0"/>
        <w:rPr/>
      </w:pPr>
      <w:r>
        <w:rPr>
          <w:b/>
        </w:rPr>
        <w:t>9.</w:t>
        <w:tab/>
      </w:r>
      <w:r>
        <w:rPr>
          <w:b/>
          <w:u w:val="single"/>
        </w:rPr>
        <w:t>Costs to Electric Generators</w:t>
      </w:r>
      <w:r>
        <w:rPr>
          <w:b/>
          <w:sz w:val="28"/>
        </w:rPr>
        <w:tab/>
      </w:r>
    </w:p>
    <w:p>
      <w:pPr>
        <w:pStyle w:val="BodyText"/>
        <w:keepLines/>
        <w:widowControl/>
        <w:ind w:hanging="0" w:end="0"/>
        <w:rPr/>
      </w:pPr>
      <w:r>
        <w:rPr>
          <w:b/>
        </w:rPr>
        <w:tab/>
        <w:tab/>
      </w:r>
      <w:r>
        <w:rPr/>
        <w:t>WGSI/Enron disagree with SCGC’s claim that the CSA will cost generators more.</w:t>
      </w:r>
      <w:r>
        <w:rPr>
          <w:rStyle w:val="FootnoteCharacters"/>
          <w:rStyle w:val="FootnoteReference"/>
        </w:rPr>
        <w:footnoteReference w:id="46"/>
      </w:r>
      <w:r>
        <w:rPr/>
        <w:t xml:space="preserve">  Under the current market conditions, the very same customers who are complaining are actually doing very well.  In two recent interviews with the Los Angeles Times, S. David Freeman, General Manager of the Los Angeles Department of Water and Power, stated "If it's a real hot summer, we're going to -- I hate to put it like this -- but we're going to make out like bandits."</w:t>
      </w:r>
      <w:r>
        <w:rPr>
          <w:rStyle w:val="FootnoteCharacters"/>
          <w:rStyle w:val="FootnoteReference"/>
        </w:rPr>
        <w:footnoteReference w:id="47"/>
      </w:r>
      <w:r>
        <w:rPr/>
        <w:t xml:space="preserve"> and "We're making a terrific profit, selling for 75 cents a kilowatt-hour electricity that costs 7 or 8 cents to generate at most.  The profit -- as much as $5 million on the hottest day--is being used to shrink the department's debt."</w:t>
      </w:r>
      <w:r>
        <w:rPr>
          <w:rStyle w:val="FootnoteCharacters"/>
          <w:rStyle w:val="FootnoteReference"/>
        </w:rPr>
        <w:footnoteReference w:id="48"/>
      </w:r>
      <w:r>
        <w:rPr/>
        <w:t xml:space="preserve">  Thus, this segment of the industry can well afford to pay reservation charges for a portion of their firm demand -- they can afford to pay for what they use.</w:t>
      </w:r>
    </w:p>
    <w:p>
      <w:pPr>
        <w:pStyle w:val="BodyText"/>
        <w:rPr>
          <w:b/>
        </w:rPr>
      </w:pPr>
      <w:r>
        <w:rPr>
          <w:b/>
        </w:rPr>
        <w:t>B.</w:t>
        <w:tab/>
        <w:t>BALANCING</w:t>
      </w:r>
    </w:p>
    <w:p>
      <w:pPr>
        <w:pStyle w:val="BodyText"/>
        <w:spacing w:lineRule="auto" w:line="240"/>
        <w:ind w:hanging="720" w:start="2880" w:end="0"/>
        <w:rPr>
          <w:b/>
          <w:u w:val="single"/>
        </w:rPr>
      </w:pPr>
      <w:r>
        <w:rPr>
          <w:b/>
        </w:rPr>
        <w:t>1.</w:t>
        <w:tab/>
      </w:r>
      <w:r>
        <w:rPr>
          <w:b/>
          <w:u w:val="single"/>
        </w:rPr>
        <w:t>The CSA Provides Balancing Without Traditional Cross Subsidies</w:t>
      </w:r>
    </w:p>
    <w:p>
      <w:pPr>
        <w:pStyle w:val="BodyText"/>
        <w:spacing w:lineRule="auto" w:line="240"/>
        <w:ind w:hanging="720" w:start="2880" w:end="0"/>
        <w:rPr>
          <w:b/>
          <w:u w:val="single"/>
        </w:rPr>
      </w:pPr>
      <w:r>
        <w:rPr>
          <w:b/>
          <w:u w:val="single"/>
        </w:rPr>
      </w:r>
    </w:p>
    <w:p>
      <w:pPr>
        <w:pStyle w:val="BodyText"/>
        <w:rPr/>
      </w:pPr>
      <w:r>
        <w:rPr/>
        <w:t>SCGC claims that the IS/PIS preserves the benefits of load diversity for customers.</w:t>
      </w:r>
      <w:r>
        <w:rPr>
          <w:rStyle w:val="FootnoteCharacters"/>
          <w:rStyle w:val="FootnoteReference"/>
        </w:rPr>
        <w:footnoteReference w:id="49"/>
      </w:r>
      <w:r>
        <w:rPr/>
        <w:t xml:space="preserve">  This is double-speak for preserving the cross subsidies which allow certain customers to make use of balancing assets for which they do not pay.  The fact that these cross subsidies may flow to core customers and to non-core customers at different times makes them no less unfair to those customers who pay for assets used to serve other customers.  Under the CSA, both core customers and non-core customers will see a more equitable situation in which there is sufficient balancing capacity allocated to meet their requirements and they will not be obligated to pay for balancing or storage assets used to provide services to other customers.</w:t>
      </w:r>
      <w:r>
        <w:rPr>
          <w:rStyle w:val="FootnoteCharacters"/>
          <w:rStyle w:val="FootnoteReference"/>
        </w:rPr>
        <w:footnoteReference w:id="50"/>
      </w:r>
    </w:p>
    <w:p>
      <w:pPr>
        <w:pStyle w:val="BodyText"/>
        <w:spacing w:lineRule="auto" w:line="240"/>
        <w:ind w:hanging="720" w:start="2880" w:end="0"/>
        <w:rPr>
          <w:b/>
          <w:u w:val="single"/>
        </w:rPr>
      </w:pPr>
      <w:r>
        <w:rPr>
          <w:b/>
        </w:rPr>
        <w:t>2.</w:t>
        <w:tab/>
      </w:r>
      <w:r>
        <w:rPr>
          <w:b/>
          <w:u w:val="single"/>
        </w:rPr>
        <w:t>OFOs and Pooling Issues Are Appropriately Addressed in the CSA</w:t>
      </w:r>
    </w:p>
    <w:p>
      <w:pPr>
        <w:pStyle w:val="BodyText"/>
        <w:spacing w:lineRule="auto" w:line="240"/>
        <w:ind w:hanging="720" w:start="2880" w:end="0"/>
        <w:rPr>
          <w:b/>
          <w:u w:val="single"/>
        </w:rPr>
      </w:pPr>
      <w:r>
        <w:rPr>
          <w:b/>
          <w:u w:val="single"/>
        </w:rPr>
      </w:r>
    </w:p>
    <w:p>
      <w:pPr>
        <w:pStyle w:val="BodyText"/>
        <w:rPr/>
      </w:pPr>
      <w:r>
        <w:rPr/>
        <w:t>The IS/PIS does provide for the use of operational flow orders (“OFO”), but so does the CSA.</w:t>
      </w:r>
      <w:r>
        <w:rPr>
          <w:rStyle w:val="FootnoteCharacters"/>
          <w:rStyle w:val="FootnoteReference"/>
        </w:rPr>
        <w:footnoteReference w:id="51"/>
      </w:r>
      <w:r>
        <w:rPr/>
        <w:t xml:space="preserve">  Following the PG&amp;E settlement, these procedures are an accepted standard in the industry.  There is little if any distinction between the two settlements on this point.</w:t>
      </w:r>
    </w:p>
    <w:p>
      <w:pPr>
        <w:pStyle w:val="BodyText"/>
        <w:rPr/>
      </w:pPr>
      <w:r>
        <w:rPr/>
        <w:t>The IS/PIS provides for the establishment of pools of transportation gas in the SoCalGas system, which SCGC claims give rise to a new intrastate gas market for trading.</w:t>
      </w:r>
      <w:r>
        <w:rPr>
          <w:rStyle w:val="FootnoteCharacters"/>
          <w:rStyle w:val="FootnoteReference"/>
        </w:rPr>
        <w:footnoteReference w:id="52"/>
      </w:r>
      <w:r>
        <w:rPr/>
        <w:t xml:space="preserve">  The CSA provides for the same types of pools as the interim settlement, and provides for an additional pool at the citygate created by the unbundling of intrastate transportation.</w:t>
      </w:r>
      <w:r>
        <w:rPr>
          <w:rStyle w:val="FootnoteCharacters"/>
          <w:rStyle w:val="FootnoteReference"/>
        </w:rPr>
        <w:footnoteReference w:id="53"/>
      </w:r>
      <w:r>
        <w:rPr/>
        <w:t xml:space="preserve">  The CSA’s provision of new markets and new pools for customers is clearly superior to that of the IS/PIS.</w:t>
      </w:r>
    </w:p>
    <w:p>
      <w:pPr>
        <w:pStyle w:val="BodyText"/>
        <w:rPr/>
      </w:pPr>
      <w:r>
        <w:rPr/>
        <w:t>SCGC claims that the IS/PIS will establish parity among all customers, including SoCalGas’s Gas Acquisition Department, by subjecting the Gas Acquisition Department to the same balancing rules and penalties as other shippers on the SoCalGas system.</w:t>
      </w:r>
      <w:r>
        <w:rPr>
          <w:rStyle w:val="FootnoteCharacters"/>
          <w:rStyle w:val="FootnoteReference"/>
        </w:rPr>
        <w:footnoteReference w:id="54"/>
      </w:r>
      <w:r>
        <w:rPr/>
        <w:t xml:space="preserve">  The CSA, however, provides a superior means of achieving the same end by ensuring that the core is provided with sufficient balancing assets to take care of its balancing requirements and by allocating to non-core customers enough storage to balance the full ten percent (10%) swing requirement (if all non-core customers were to remain with SoCalGas system balancing).</w:t>
      </w:r>
      <w:r>
        <w:rPr>
          <w:rStyle w:val="FootnoteCharacters"/>
          <w:rStyle w:val="FootnoteReference"/>
        </w:rPr>
        <w:footnoteReference w:id="55"/>
      </w:r>
      <w:r>
        <w:rPr/>
        <w:t xml:space="preserve">  In this fashion, customers are not allocated any more assets than are needed for their balancing needs.</w:t>
      </w:r>
      <w:r>
        <w:rPr>
          <w:rStyle w:val="FootnoteCharacters"/>
          <w:rStyle w:val="FootnoteReference"/>
        </w:rPr>
        <w:footnoteReference w:id="56"/>
      </w:r>
      <w:r>
        <w:rPr/>
        <w:t xml:space="preserve">  Nor are customers required to pay for assets used to provide balancing services for other customers.  But cross subsidization of this sort would continue under the IS/PIS.</w:t>
      </w:r>
    </w:p>
    <w:p>
      <w:pPr>
        <w:pStyle w:val="BodyText"/>
        <w:ind w:start="720" w:end="0"/>
        <w:rPr>
          <w:b/>
        </w:rPr>
      </w:pPr>
      <w:r>
        <w:rPr>
          <w:b/>
        </w:rPr>
        <w:t>3.</w:t>
        <w:tab/>
      </w:r>
      <w:r>
        <w:rPr>
          <w:b/>
          <w:u w:val="single"/>
        </w:rPr>
        <w:t>Imbalance Trading and Trading Procedures</w:t>
      </w:r>
    </w:p>
    <w:p>
      <w:pPr>
        <w:pStyle w:val="BodyText"/>
        <w:rPr/>
      </w:pPr>
      <w:r>
        <w:rPr/>
        <w:t>SCGC claims that the IS/PIS dramatically liberalizes the trading of imbalances for all customers including the Gas Acquisition Department.</w:t>
      </w:r>
      <w:r>
        <w:rPr>
          <w:rStyle w:val="FootnoteCharacters"/>
          <w:rStyle w:val="FootnoteReference"/>
        </w:rPr>
        <w:footnoteReference w:id="57"/>
      </w:r>
      <w:r>
        <w:rPr/>
        <w:t xml:space="preserve">  On the contrary, the provisions of the IS/PIS are significantly more restrictive than the imbalance trading allowed under the CSA.</w:t>
      </w:r>
      <w:r>
        <w:rPr>
          <w:rStyle w:val="FootnoteCharacters"/>
          <w:rStyle w:val="FootnoteReference"/>
        </w:rPr>
        <w:footnoteReference w:id="58"/>
      </w:r>
      <w:r>
        <w:rPr/>
        <w:t xml:space="preserve">  In addition, SCGC’s proposal omits the most important innovation of all, the CSA’s development of an electronic on-line anonymous trading system for imbalances and imbalance rights.</w:t>
      </w:r>
      <w:r>
        <w:rPr>
          <w:rStyle w:val="FootnoteCharacters"/>
          <w:rStyle w:val="FootnoteReference"/>
        </w:rPr>
        <w:footnoteReference w:id="59"/>
      </w:r>
      <w:r>
        <w:rPr/>
        <w:t xml:space="preserve">  This innovative proposal (already approved for the PG&amp;E system) is far superior to the current practice of individually calling potential traders by telephone.  Instantaneous anonymous trading is also known to facilitate more liquid trading, and more active trading produces more accurate price disclosure.</w:t>
      </w:r>
      <w:r>
        <w:rPr>
          <w:rStyle w:val="FootnoteCharacters"/>
          <w:rStyle w:val="FootnoteReference"/>
        </w:rPr>
        <w:footnoteReference w:id="60"/>
      </w:r>
      <w:r>
        <w:rPr/>
        <w:t xml:space="preserve">  In addition, as WGSI witness Amirault testified, accelerated trading reduces the bid/ask spread, lowering risk and transaction costs for all market participants.</w:t>
      </w:r>
      <w:r>
        <w:rPr>
          <w:rStyle w:val="FootnoteCharacters"/>
          <w:rStyle w:val="FootnoteReference"/>
        </w:rPr>
        <w:footnoteReference w:id="61"/>
      </w:r>
      <w:r>
        <w:rPr/>
        <w:t xml:space="preserve">  This narrowing of the bidding spread restricts the margin a seller can earn on a trade and helps to refute the overblown claims of SCGC that the CSA only benefits marketers.</w:t>
      </w:r>
    </w:p>
    <w:p>
      <w:pPr>
        <w:pStyle w:val="BodyText"/>
        <w:rPr>
          <w:b/>
        </w:rPr>
      </w:pPr>
      <w:r>
        <w:rPr>
          <w:b/>
        </w:rPr>
        <w:t>C.</w:t>
        <w:tab/>
        <w:t>STORAGE</w:t>
      </w:r>
    </w:p>
    <w:p>
      <w:pPr>
        <w:pStyle w:val="BodyText"/>
        <w:ind w:start="720" w:end="0"/>
        <w:rPr>
          <w:b/>
          <w:u w:val="single"/>
        </w:rPr>
      </w:pPr>
      <w:r>
        <w:rPr>
          <w:b/>
        </w:rPr>
        <w:t>1.</w:t>
        <w:tab/>
      </w:r>
      <w:r>
        <w:rPr>
          <w:b/>
          <w:u w:val="single"/>
        </w:rPr>
        <w:t>The IS/PIS Restricts Storage Rights and the Secondary Market</w:t>
      </w:r>
    </w:p>
    <w:p>
      <w:pPr>
        <w:pStyle w:val="BodyText"/>
        <w:rPr/>
      </w:pPr>
      <w:r>
        <w:rPr/>
        <w:t>SCGC claims a benefit in the fact that the IS/PIS gives storage customers the right to assign their storage contract in a secondary market.</w:t>
      </w:r>
      <w:r>
        <w:rPr>
          <w:rStyle w:val="FootnoteCharacters"/>
          <w:rStyle w:val="FootnoteReference"/>
        </w:rPr>
        <w:footnoteReference w:id="62"/>
      </w:r>
      <w:r>
        <w:rPr/>
        <w:t xml:space="preserve">  But, this restrictive assignment right is too confining for most customers, who would like to trade actual elements of storage capability, either injection capacity, withdrawal capacity, or storage inventory capacity.  The IS/PIS is far less flexible and only allows a customer to assign its contract with the same fixed proportion of storage elements to a party for either the full term or a portion thereof.</w:t>
      </w:r>
      <w:r>
        <w:rPr>
          <w:rStyle w:val="FootnoteCharacters"/>
          <w:rStyle w:val="FootnoteReference"/>
        </w:rPr>
        <w:footnoteReference w:id="63"/>
      </w:r>
      <w:r>
        <w:rPr/>
        <w:t xml:space="preserve">  This is not a true secondary market.  Instead, it  is a rather limited right of assignment, and ,unless one party’s storage needs are exactly the same as those of the customer who originally contracted for the storage, there is no reason to believe that the party seeking capacity would find such an assignment attractive.  In contrast, a true secondary market for unbundled storage capacity means that, in addition to buying flexible storage elements in the as-available market from SoCalGas, a customer could purchase the same completely flexible types of storage elements from individual holders of storage rights.</w:t>
      </w:r>
      <w:r>
        <w:rPr>
          <w:rStyle w:val="FootnoteCharacters"/>
          <w:rStyle w:val="FootnoteReference"/>
        </w:rPr>
        <w:footnoteReference w:id="64"/>
      </w:r>
    </w:p>
    <w:p>
      <w:pPr>
        <w:pStyle w:val="BodyText"/>
        <w:rPr/>
      </w:pPr>
      <w:r>
        <w:rPr/>
        <w:t>SCGC claims that the IS/PIS allows SoCalGas to establish a voluntary electronic bulletin board to facilitate secondary trading of storage contracts, but neglects to mention that it does not create the same electronic bulletin board for the trading of imbalances or imbalance rights.  Again, it does not really allow the secondary trading of storage contract rights, but only actual assignments of fixed contracts themselves.</w:t>
      </w:r>
      <w:r>
        <w:rPr>
          <w:rStyle w:val="FootnoteCharacters"/>
          <w:rStyle w:val="FootnoteReference"/>
        </w:rPr>
        <w:footnoteReference w:id="65"/>
      </w:r>
      <w:r>
        <w:rPr/>
        <w:t xml:space="preserve">  This “benefit” is, once again, less desirable than the CSA.</w:t>
      </w:r>
    </w:p>
    <w:p>
      <w:pPr>
        <w:pStyle w:val="BodyText"/>
        <w:spacing w:lineRule="auto" w:line="240"/>
        <w:ind w:hanging="720" w:start="2880" w:end="0"/>
        <w:rPr>
          <w:b/>
          <w:u w:val="single"/>
        </w:rPr>
      </w:pPr>
      <w:r>
        <w:rPr>
          <w:b/>
        </w:rPr>
        <w:t>2.</w:t>
        <w:tab/>
      </w:r>
      <w:r>
        <w:rPr>
          <w:b/>
          <w:u w:val="single"/>
        </w:rPr>
        <w:t>The Storage Program for CTAs Under the CSA is More Flexible Than The IS/PIS Program</w:t>
      </w:r>
    </w:p>
    <w:p>
      <w:pPr>
        <w:pStyle w:val="BodyText"/>
        <w:spacing w:lineRule="auto" w:line="240"/>
        <w:ind w:hanging="720" w:start="2880" w:end="0"/>
        <w:rPr>
          <w:b/>
          <w:u w:val="single"/>
        </w:rPr>
      </w:pPr>
      <w:r>
        <w:rPr>
          <w:b/>
          <w:u w:val="single"/>
        </w:rPr>
      </w:r>
    </w:p>
    <w:p>
      <w:pPr>
        <w:pStyle w:val="BodyText"/>
        <w:rPr/>
      </w:pPr>
      <w:r>
        <w:rPr/>
        <w:t>The IS/PIS permits Core Transportation Agents (“CTA”) to accept or decline nonreliability storage only.</w:t>
      </w:r>
      <w:r>
        <w:rPr>
          <w:rStyle w:val="FootnoteCharacters"/>
          <w:rStyle w:val="FootnoteReference"/>
        </w:rPr>
        <w:footnoteReference w:id="66"/>
      </w:r>
      <w:r>
        <w:rPr/>
        <w:t xml:space="preserve">  Again, this is less attractive to CTAs than the CSA.  The CSA permits CTAs to unbundle all of their storage, whether it be reliability storage, or the so-called excess storage which is not related to reliability service.</w:t>
      </w:r>
      <w:r>
        <w:rPr>
          <w:rStyle w:val="FootnoteCharacters"/>
          <w:rStyle w:val="FootnoteReference"/>
        </w:rPr>
        <w:footnoteReference w:id="67"/>
      </w:r>
    </w:p>
    <w:p>
      <w:pPr>
        <w:pStyle w:val="BodyText"/>
        <w:spacing w:lineRule="auto" w:line="240"/>
        <w:ind w:hanging="720" w:start="2880" w:end="0"/>
        <w:rPr>
          <w:b/>
          <w:u w:val="single"/>
        </w:rPr>
      </w:pPr>
      <w:r>
        <w:rPr>
          <w:b/>
        </w:rPr>
        <w:t>3.</w:t>
        <w:tab/>
      </w:r>
      <w:r>
        <w:rPr>
          <w:b/>
          <w:u w:val="single"/>
        </w:rPr>
        <w:t>The CSA Provides Better Wholesale Customer Storage Options</w:t>
      </w:r>
    </w:p>
    <w:p>
      <w:pPr>
        <w:pStyle w:val="BodyText"/>
        <w:spacing w:lineRule="auto" w:line="240"/>
        <w:ind w:hanging="720" w:start="2880" w:end="0"/>
        <w:rPr>
          <w:b/>
          <w:u w:val="single"/>
        </w:rPr>
      </w:pPr>
      <w:r>
        <w:rPr>
          <w:b/>
          <w:u w:val="single"/>
        </w:rPr>
      </w:r>
    </w:p>
    <w:p>
      <w:pPr>
        <w:pStyle w:val="BodyText"/>
        <w:rPr/>
      </w:pPr>
      <w:r>
        <w:rPr/>
        <w:t>SCGC claims the IS/PIS provides three options for wholesale customers to pursue in managing their storage resources.</w:t>
      </w:r>
      <w:r>
        <w:rPr>
          <w:rStyle w:val="FootnoteCharacters"/>
          <w:rStyle w:val="FootnoteReference"/>
        </w:rPr>
        <w:footnoteReference w:id="68"/>
      </w:r>
      <w:r>
        <w:rPr/>
        <w:t xml:space="preserve">  The CSA provides the same options to wholesale customers plus an additional option to purchase individual elements of storage service in a true secondary market.</w:t>
      </w:r>
      <w:r>
        <w:rPr>
          <w:rStyle w:val="FootnoteCharacters"/>
          <w:rStyle w:val="FootnoteReference"/>
        </w:rPr>
        <w:footnoteReference w:id="69"/>
      </w:r>
      <w:r>
        <w:rPr/>
        <w:t xml:space="preserve"> </w:t>
      </w:r>
    </w:p>
    <w:p>
      <w:pPr>
        <w:pStyle w:val="BodyText"/>
        <w:ind w:start="720" w:end="0"/>
        <w:rPr>
          <w:b/>
          <w:u w:val="single"/>
        </w:rPr>
      </w:pPr>
      <w:r>
        <w:rPr>
          <w:b/>
        </w:rPr>
        <w:t>4.</w:t>
        <w:tab/>
      </w:r>
      <w:r>
        <w:rPr>
          <w:b/>
          <w:u w:val="single"/>
        </w:rPr>
        <w:t>Storage Price Caps and Floors</w:t>
      </w:r>
    </w:p>
    <w:p>
      <w:pPr>
        <w:pStyle w:val="BodyText"/>
        <w:rPr/>
      </w:pPr>
      <w:r>
        <w:rPr/>
        <w:t>SCGC claims that the IS/PIS provides a reasonable cap on SoCalGas prices for unbundled storage services.</w:t>
      </w:r>
      <w:r>
        <w:rPr>
          <w:rStyle w:val="FootnoteCharacters"/>
          <w:rStyle w:val="FootnoteReference"/>
        </w:rPr>
        <w:footnoteReference w:id="70"/>
      </w:r>
      <w:r>
        <w:rPr/>
        <w:t xml:space="preserve">  In comparison, the CSA provides a graduated cap on storage services for SoCalGas up until the point that the utility bears 100% risk of uncontracted storage.  At that point, both the price caps and floors are eliminated and customers have many significant alternatives to purchasing storage from SoCalGas.</w:t>
      </w:r>
      <w:r>
        <w:rPr>
          <w:rStyle w:val="FootnoteCharacters"/>
          <w:rStyle w:val="FootnoteReference"/>
        </w:rPr>
        <w:footnoteReference w:id="71"/>
      </w:r>
      <w:r>
        <w:rPr/>
        <w:t xml:space="preserve">  Customers are not obligated to purchase it from SoCalGas, even during constrained periods.  Further, they would have the opportunity to purchase storage from independent providers in Northern or Southern California, one of which is already in operation, or to purchase storage services in a true secondary market.  To the extent that customers have alternatives to purchasing these assets from SoCalGas, there is less justification for providing significant price caps and floors.</w:t>
      </w:r>
    </w:p>
    <w:p>
      <w:pPr>
        <w:pStyle w:val="BodyText"/>
        <w:rPr/>
      </w:pPr>
      <w:r>
        <w:rPr/>
        <w:t>SCGC also claims that the IS/PIS provides an advantage by not allowing any additional storage unbundling beyond that provided in the Interim Settlement until the 1999 BCAP has expired.  This was done in order to “allow the Commission and stakeholders some time to observe the effects of other reforms.”</w:t>
      </w:r>
      <w:r>
        <w:rPr>
          <w:rStyle w:val="FootnoteCharacters"/>
          <w:rStyle w:val="FootnoteReference"/>
        </w:rPr>
        <w:footnoteReference w:id="72"/>
      </w:r>
      <w:r>
        <w:rPr/>
        <w:t xml:space="preserve">  This is utter nonsense.  There is no benefit in a substantial delay in unbundling storage.</w:t>
      </w:r>
      <w:r>
        <w:rPr>
          <w:rStyle w:val="FootnoteCharacters"/>
          <w:rStyle w:val="FootnoteReference"/>
        </w:rPr>
        <w:footnoteReference w:id="73"/>
      </w:r>
      <w:r>
        <w:rPr/>
        <w:t xml:space="preserve">  This simply denies opportunities to customers.  It is also important to understand that unbundled storage works in close combination with unbundled balancing services and unbundled transportation.  To the extent that the Commission adopted a settlement which unbundled intrastate transportation and balancing, but did not allow customers fully unbundled storage rights, customers would not have access to all the tools necessary to manage their gas supply resources.</w:t>
      </w:r>
      <w:r>
        <w:rPr>
          <w:rStyle w:val="FootnoteCharacters"/>
          <w:rStyle w:val="FootnoteReference"/>
        </w:rPr>
        <w:footnoteReference w:id="74"/>
      </w:r>
      <w:r>
        <w:rPr/>
        <w:t xml:space="preserve">  Storage is an integral part of the full set of tools customers require in order to manage their gas supplies.  Thus, storage unbundling must take place at the same time that unbundled transmission and balancing are provided.</w:t>
      </w:r>
    </w:p>
    <w:p>
      <w:pPr>
        <w:pStyle w:val="BodyText"/>
        <w:ind w:start="720" w:end="0"/>
        <w:rPr>
          <w:b/>
          <w:u w:val="single"/>
        </w:rPr>
      </w:pPr>
      <w:r>
        <w:rPr>
          <w:b/>
        </w:rPr>
        <w:t>5.</w:t>
        <w:tab/>
      </w:r>
      <w:r>
        <w:rPr>
          <w:b/>
          <w:u w:val="single"/>
        </w:rPr>
        <w:t>Ratemaking Treatment for the Montebello Storage Field</w:t>
      </w:r>
    </w:p>
    <w:p>
      <w:pPr>
        <w:pStyle w:val="BodyText"/>
        <w:rPr/>
      </w:pPr>
      <w:r>
        <w:rPr/>
        <w:t>SCGC claims that the IS/PIS requires that the cost associated with the Montebello Field be removed from rates effective September 1, 1999.</w:t>
      </w:r>
      <w:r>
        <w:rPr>
          <w:rStyle w:val="FootnoteCharacters"/>
          <w:rStyle w:val="FootnoteReference"/>
        </w:rPr>
        <w:footnoteReference w:id="75"/>
      </w:r>
      <w:r>
        <w:rPr/>
        <w:t xml:space="preserve">  This is not a significant benefit.  CSA proponents always intended that the disposition of the Montebello Storage Field would be decided in a separate Commission proceeding, and negotiations between SoCalGas and the staff on the disposition of the field are already underway.  It should also be noted that neither the owner of the Montebello Field, nor the Commission staff which investigated the previous efforts to sell the field, are parties to the solution offered in the IS/PIS.  As the Commission is well aware, recovery of the costs of the Montebello Field are being made at this time subject to refund.</w:t>
      </w:r>
      <w:r>
        <w:rPr>
          <w:rStyle w:val="FootnoteCharacters"/>
          <w:rStyle w:val="FootnoteReference"/>
        </w:rPr>
        <w:footnoteReference w:id="76"/>
      </w:r>
      <w:r>
        <w:rPr/>
        <w:t xml:space="preserve">  Under these circumstances, any ratemaking solution under the IS/PIS can be duplicated under the CSA if the Commission simply chooses to provide the same treatment to the Montebello plant in a subsequent proceeding.  Thus, there is no advantage to the IS/PIS in this regard.  </w:t>
      </w:r>
    </w:p>
    <w:p>
      <w:pPr>
        <w:pStyle w:val="BodyText"/>
        <w:ind w:start="720" w:end="0"/>
        <w:rPr>
          <w:b/>
        </w:rPr>
      </w:pPr>
      <w:r>
        <w:rPr>
          <w:b/>
        </w:rPr>
        <w:t>6.</w:t>
        <w:tab/>
      </w:r>
      <w:r>
        <w:rPr>
          <w:b/>
          <w:u w:val="single"/>
        </w:rPr>
        <w:t>The Quantity of Storage Used for Balancing</w:t>
      </w:r>
    </w:p>
    <w:p>
      <w:pPr>
        <w:pStyle w:val="BodyText"/>
        <w:rPr/>
      </w:pPr>
      <w:r>
        <w:rPr/>
        <w:t>SCGC also claims an advantage in the fact that the IS/PIS maintains the allocation of storage capacity for balancing contained in the 1999 BCAP.</w:t>
      </w:r>
      <w:r>
        <w:rPr>
          <w:rStyle w:val="FootnoteCharacters"/>
          <w:rStyle w:val="FootnoteReference"/>
        </w:rPr>
        <w:footnoteReference w:id="77"/>
      </w:r>
      <w:r>
        <w:rPr/>
        <w:t xml:space="preserve">  In point of fact, SoCalGas has testified that the allocations of storage for balancing contained in the CSA provided greater than necessary storage assets.</w:t>
      </w:r>
      <w:r>
        <w:rPr>
          <w:rStyle w:val="FootnoteCharacters"/>
          <w:rStyle w:val="FootnoteReference"/>
        </w:rPr>
        <w:footnoteReference w:id="78"/>
      </w:r>
      <w:r>
        <w:rPr/>
        <w:t xml:space="preserve">  As a result, the CSA allocates to both core and non-core adequate, but not excessive amounts of storage assets for balancing purposes, thereby helping to reduce costs for both types of customers and avoiding the allocation of excessive costs to either class.</w:t>
      </w:r>
      <w:r>
        <w:rPr>
          <w:rStyle w:val="FootnoteCharacters"/>
          <w:rStyle w:val="FootnoteReference"/>
        </w:rPr>
        <w:footnoteReference w:id="79"/>
      </w:r>
      <w:r>
        <w:rPr/>
        <w:t xml:space="preserve"> The CSA is clearly superior to the IS/PIS in this regard.</w:t>
      </w:r>
    </w:p>
    <w:p>
      <w:pPr>
        <w:pStyle w:val="BodyText"/>
        <w:rPr>
          <w:b/>
        </w:rPr>
      </w:pPr>
      <w:r>
        <w:rPr>
          <w:b/>
        </w:rPr>
        <w:t>D.</w:t>
        <w:tab/>
        <w:t>INTERSTATE CAPACITY</w:t>
      </w:r>
    </w:p>
    <w:p>
      <w:pPr>
        <w:pStyle w:val="BodyText"/>
        <w:ind w:start="720" w:end="0"/>
        <w:rPr>
          <w:b/>
          <w:u w:val="single"/>
        </w:rPr>
      </w:pPr>
      <w:r>
        <w:rPr>
          <w:b/>
        </w:rPr>
        <w:t>1.</w:t>
        <w:tab/>
      </w:r>
      <w:r>
        <w:rPr>
          <w:b/>
          <w:u w:val="single"/>
        </w:rPr>
        <w:t>Core Interstate Capacity Unbundling</w:t>
      </w:r>
    </w:p>
    <w:p>
      <w:pPr>
        <w:pStyle w:val="BodyText"/>
        <w:rPr/>
      </w:pPr>
      <w:r>
        <w:rPr/>
        <w:t>SCGC notes that the IS/PIS eliminates an allocation of ITCS costs to core customers.</w:t>
      </w:r>
      <w:r>
        <w:rPr>
          <w:rStyle w:val="FootnoteCharacters"/>
          <w:rStyle w:val="FootnoteReference"/>
        </w:rPr>
        <w:footnoteReference w:id="80"/>
      </w:r>
      <w:r>
        <w:rPr/>
        <w:t xml:space="preserve">  So does the parallel provision of the CSA.</w:t>
      </w:r>
      <w:r>
        <w:rPr>
          <w:rStyle w:val="FootnoteCharacters"/>
          <w:rStyle w:val="FootnoteReference"/>
        </w:rPr>
        <w:footnoteReference w:id="81"/>
      </w:r>
      <w:r>
        <w:rPr/>
        <w:t xml:space="preserve">  However, there is a significant difference between the two on this point.  SCGC claims a benefit in the fact that the IS/PIS provides SoCalGas with an incentive to be diligent in selling its interstate pipeline capacity by imposing a 25% risk sharing on SoCalGas shareholders.</w:t>
      </w:r>
      <w:r>
        <w:rPr>
          <w:rStyle w:val="FootnoteCharacters"/>
          <w:rStyle w:val="FootnoteReference"/>
        </w:rPr>
        <w:footnoteReference w:id="82"/>
      </w:r>
      <w:r>
        <w:rPr/>
        <w:t xml:space="preserve">  This is no benefit.  As indicated in the Enron and WGSI opening brief, under cross-examination, the SCGC witness was forced to concede that any increase in the value of interstate capacity marketed by SoCalGas could have the effect of raising the cost of transportation for other shippers.</w:t>
      </w:r>
      <w:r>
        <w:rPr>
          <w:rStyle w:val="FootnoteCharacters"/>
          <w:rStyle w:val="FootnoteReference"/>
        </w:rPr>
        <w:footnoteReference w:id="83"/>
      </w:r>
      <w:r>
        <w:rPr/>
        <w:t xml:space="preserve"> The border price for gas is a combination of the commodity cost of gas and the cost of transporting it to the California border.  Providing SoCalGas with a strong financial incentive to increase the price of released capacity on the interstate pipeline systems is an extremely counterproductive measure.</w:t>
      </w:r>
      <w:r>
        <w:rPr>
          <w:rStyle w:val="FootnoteCharacters"/>
          <w:rStyle w:val="FootnoteReference"/>
        </w:rPr>
        <w:footnoteReference w:id="84"/>
      </w:r>
    </w:p>
    <w:p>
      <w:pPr>
        <w:pStyle w:val="BodyText"/>
        <w:rPr/>
      </w:pPr>
      <w:r>
        <w:rPr/>
        <w:t>SCGC made absolutely no analysis of whether the benefit from SoCalGas reducing the net ITCS by increasing the price at which it sold released capacity would offset the burden on all shippers of higher interstate transmission costs.  In the absence of any such analysis, SCGC simply cannot say that its imposition of risk on shareholders for this cost item is an advantage.  The CSA supporters contend that it is an extremely counterproductive measure which gives SoCalGas a financial incentive to increase transmission costs.  Ultimately, this may be far more damaging to shippers than the current allocation of ITCS.</w:t>
      </w:r>
    </w:p>
    <w:p>
      <w:pPr>
        <w:pStyle w:val="BodyText"/>
        <w:ind w:start="720" w:end="0"/>
        <w:rPr>
          <w:b/>
        </w:rPr>
      </w:pPr>
      <w:r>
        <w:rPr>
          <w:b/>
        </w:rPr>
        <w:t>2.</w:t>
        <w:tab/>
      </w:r>
      <w:r>
        <w:rPr>
          <w:b/>
          <w:u w:val="single"/>
        </w:rPr>
        <w:t>Interstate Capacity Rights of the Core</w:t>
      </w:r>
    </w:p>
    <w:p>
      <w:pPr>
        <w:pStyle w:val="BodyText"/>
        <w:rPr/>
      </w:pPr>
      <w:r>
        <w:rPr/>
        <w:t>SCGC claims that the IS/PIS allocates costs associated with the unbundling of interstate pipeline capacity for CTA customers in a superior manner to the CSA.</w:t>
      </w:r>
      <w:r>
        <w:rPr>
          <w:rStyle w:val="FootnoteCharacters"/>
          <w:rStyle w:val="FootnoteReference"/>
        </w:rPr>
        <w:footnoteReference w:id="85"/>
      </w:r>
      <w:r>
        <w:rPr/>
        <w:t xml:space="preserve">  The CSA supporters strongly object to this contention.</w:t>
      </w:r>
      <w:r>
        <w:rPr>
          <w:rStyle w:val="FootnoteCharacters"/>
          <w:rStyle w:val="FootnoteReference"/>
        </w:rPr>
        <w:footnoteReference w:id="86"/>
      </w:r>
      <w:r>
        <w:rPr/>
        <w:t xml:space="preserve">  They believe that the allocation of interstate capacity costs between the core and non-core is fair.  As proof of this, ORA supports the CSA settlement, and does not support the IS/PIS.</w:t>
      </w:r>
      <w:r>
        <w:rPr>
          <w:rStyle w:val="FootnoteCharacters"/>
          <w:rStyle w:val="FootnoteReference"/>
        </w:rPr>
        <w:footnoteReference w:id="87"/>
      </w:r>
      <w:r>
        <w:rPr/>
        <w:t xml:space="preserve"> </w:t>
      </w:r>
    </w:p>
    <w:p>
      <w:pPr>
        <w:pStyle w:val="BodyText"/>
        <w:keepNext w:val="true"/>
        <w:rPr>
          <w:b/>
        </w:rPr>
      </w:pPr>
      <w:r>
        <w:rPr>
          <w:b/>
        </w:rPr>
        <w:t>E.</w:t>
        <w:tab/>
        <w:t>IMPLEMENTATION COSTS AND SCHEDULE</w:t>
      </w:r>
    </w:p>
    <w:p>
      <w:pPr>
        <w:pStyle w:val="BodyText"/>
        <w:ind w:start="720" w:end="0"/>
        <w:rPr>
          <w:b/>
          <w:u w:val="single"/>
        </w:rPr>
      </w:pPr>
      <w:r>
        <w:rPr>
          <w:b/>
        </w:rPr>
        <w:t>1.</w:t>
        <w:tab/>
      </w:r>
      <w:r>
        <w:rPr>
          <w:b/>
          <w:u w:val="single"/>
        </w:rPr>
        <w:t>Implementation Costs Are No Greater Under the CSA</w:t>
      </w:r>
    </w:p>
    <w:p>
      <w:pPr>
        <w:pStyle w:val="BodyText"/>
        <w:rPr/>
      </w:pPr>
      <w:r>
        <w:rPr/>
        <w:t>SCGC claims a benefit to the IS/PIS in the fact that it limits the capital cost of implementation to a capitalized cost of 3.5 million dollars.</w:t>
      </w:r>
      <w:r>
        <w:rPr>
          <w:rStyle w:val="FootnoteCharacters"/>
          <w:rStyle w:val="FootnoteReference"/>
        </w:rPr>
        <w:footnoteReference w:id="88"/>
      </w:r>
      <w:r>
        <w:rPr/>
        <w:t xml:space="preserve">  Yet, the implementation costs included in the CSA are equally reasonable, and the impact on customers may be mitigated by the contribution of penalties and imbalance sales revenue to offset implementation costs.</w:t>
      </w:r>
      <w:r>
        <w:rPr>
          <w:rStyle w:val="FootnoteCharacters"/>
          <w:rStyle w:val="FootnoteReference"/>
        </w:rPr>
        <w:footnoteReference w:id="89"/>
      </w:r>
      <w:r>
        <w:rPr/>
        <w:t xml:space="preserve">  In short, there is no major difference between the competing settlements in the area of implementation costs.</w:t>
      </w:r>
    </w:p>
    <w:p>
      <w:pPr>
        <w:pStyle w:val="BodyText"/>
        <w:ind w:start="720" w:end="0"/>
        <w:rPr>
          <w:b/>
        </w:rPr>
      </w:pPr>
      <w:r>
        <w:rPr>
          <w:b/>
        </w:rPr>
        <w:t>2.</w:t>
        <w:tab/>
      </w:r>
      <w:r>
        <w:rPr>
          <w:b/>
          <w:u w:val="single"/>
        </w:rPr>
        <w:t>Procedural Requirements for Later Proceedings</w:t>
      </w:r>
    </w:p>
    <w:p>
      <w:pPr>
        <w:pStyle w:val="BodyText"/>
        <w:rPr/>
      </w:pPr>
      <w:r>
        <w:rPr/>
        <w:t>SCGC claims a benefit in the fact that the IS/PIS requires SoCalGas to file its next BCAP application in the near term, that is by July 1, 2001.</w:t>
      </w:r>
      <w:r>
        <w:rPr>
          <w:rStyle w:val="FootnoteCharacters"/>
          <w:rStyle w:val="FootnoteReference"/>
        </w:rPr>
        <w:footnoteReference w:id="90"/>
      </w:r>
      <w:r>
        <w:rPr/>
        <w:t xml:space="preserve">  This too is no advantage.  The IS/PIS would require parties to relitigate many of the issues in this case in the BCAP, while the CSA would resolve most of the important structural issues until 2006.</w:t>
      </w:r>
      <w:r>
        <w:rPr>
          <w:rStyle w:val="FootnoteCharacters"/>
          <w:rStyle w:val="FootnoteReference"/>
        </w:rPr>
        <w:footnoteReference w:id="91"/>
      </w:r>
      <w:r>
        <w:rPr/>
        <w:t xml:space="preserve">  The CSA also provides for SoCalGas to file an application regarding post-settlement ratemaking well in advance of the end of 2006 so that the parties will have a full opportunity to discuss and if necessary litigate those issues.</w:t>
      </w:r>
      <w:r>
        <w:rPr>
          <w:rStyle w:val="FootnoteCharacters"/>
          <w:rStyle w:val="FootnoteReference"/>
        </w:rPr>
        <w:footnoteReference w:id="92"/>
      </w:r>
      <w:r>
        <w:rPr/>
        <w:t xml:space="preserve">  Requiring a BCAP to be filed in 2001 is no advantage if that BCAP is rendered substantially more complex by the fact that the parties will relitigate the very same issues raised here in the Gas Restructuring Investigation.  The vast majority of parties to this proceeding who want to see unbundling of services will not be satisfied by adoption of the IS/PIS and will simply continue to attempt to relitigate these issues in the next BCAP. </w:t>
      </w:r>
    </w:p>
    <w:p>
      <w:pPr>
        <w:pStyle w:val="BodyText"/>
        <w:ind w:firstLine="720" w:end="0"/>
        <w:rPr>
          <w:b/>
        </w:rPr>
      </w:pPr>
      <w:r>
        <w:rPr>
          <w:b/>
        </w:rPr>
        <w:tab/>
        <w:t>F.</w:t>
        <w:tab/>
        <w:t>SUMMARY</w:t>
      </w:r>
    </w:p>
    <w:p>
      <w:pPr>
        <w:pStyle w:val="BodyText"/>
        <w:rPr/>
      </w:pPr>
      <w:r>
        <w:rPr/>
        <w:t xml:space="preserve">In the preceding sections, Enron and WGSI have taken the time to go over each of the benefits claimed by SCGC for the interim settlement and the post interim settlement in order to refute each and everyone categorically.  As demonstrated above, either the benefits are of no particular value because precisely the same result is provided for under the CSA settlement, or, as in most of the cases, the benefits are nonexistent or are completely illusory.  The IS/PIS does not provide customers with lower rates, more reliability, or more protection from market power.  It simply retains the same system which parties are so unhappy with today, with the minor exception of eliminating windowing and transferring the prorationing responsibilities to the interstate pipelines.  </w:t>
      </w:r>
    </w:p>
    <w:p>
      <w:pPr>
        <w:pStyle w:val="BodyText"/>
        <w:rPr/>
      </w:pPr>
      <w:r>
        <w:rPr/>
        <w:t>It is worth noting that the same economists whom SCGC cited in their brief</w:t>
      </w:r>
      <w:r>
        <w:rPr>
          <w:rStyle w:val="FootnoteCharacters"/>
          <w:rStyle w:val="FootnoteReference"/>
        </w:rPr>
        <w:footnoteReference w:id="93"/>
      </w:r>
      <w:r>
        <w:rPr/>
        <w:t xml:space="preserve">  recognize that there is merit in a proper restructuring of gas regulation.   Contrary to the impression left by SCGC’s brief,  Dr. Leitzinger's and Mr. Ostrover's article actually  states that there are true competitive benefits to be had from restructuring, as well as the fact that competitive alternatives to the current regulated services can exist.</w:t>
      </w:r>
      <w:r>
        <w:rPr>
          <w:rStyle w:val="FootnoteCharacters"/>
          <w:rStyle w:val="FootnoteReference"/>
        </w:rPr>
        <w:footnoteReference w:id="94"/>
      </w:r>
      <w:r>
        <w:rPr/>
        <w:t xml:space="preserve">  Further, they write that "some combination of unbundling, deregulation, and regulatory restructuring could further limit the scope of regulation--without unleashing market power -- and expand competition, bringing all of the benefits that go with it."</w:t>
      </w:r>
      <w:r>
        <w:rPr>
          <w:rStyle w:val="FootnoteCharacters"/>
          <w:rStyle w:val="FootnoteReference"/>
        </w:rPr>
        <w:footnoteReference w:id="95"/>
      </w:r>
      <w:r>
        <w:rPr/>
        <w:t xml:space="preserve">  Thus, the authors do recognize that competition can be </w:t>
      </w:r>
    </w:p>
    <w:p>
      <w:pPr>
        <w:pStyle w:val="BodyText"/>
        <w:ind w:hanging="0" w:end="0"/>
        <w:rPr/>
      </w:pPr>
      <w:r>
        <w:rPr/>
        <w:t xml:space="preserve">beneficial to all, although at the same time commenting that the form of deregulation is uncertain. </w:t>
      </w:r>
      <w:r>
        <w:rPr>
          <w:b/>
        </w:rPr>
        <w:t xml:space="preserve"> </w:t>
      </w:r>
    </w:p>
    <w:p>
      <w:pPr>
        <w:pStyle w:val="BodyText"/>
        <w:rPr/>
      </w:pPr>
      <w:r>
        <w:rPr/>
        <w:t>Thus, taken completely within context, it should be noted that even SCGC’s own authorities recognize that there are valuable competitive alternatives to the current system.  Given that the Commission has already adopted those competitive alternatives for the PG&amp;E system, and given the value the Commission and the parties in this proceeding place on statewide consistency of regulation, there is again only one logical choice for the Commission in this proceeding -- the CSA.</w:t>
      </w:r>
    </w:p>
    <w:p>
      <w:pPr>
        <w:pStyle w:val="BodyText"/>
        <w:rPr/>
      </w:pPr>
      <w:r>
        <w:rPr/>
        <w:t>It is also worth reiterating  that electric generators, particularly municipal electric generators, are not in such a unique position as to warrant a deferral of  unbundling intrastate capacity and storage for 6 years in order to provide life support to failing electric generators.  SCGC has attempted to portray electric generators in Southern California as being failing enterprises at death’s door.</w:t>
      </w:r>
      <w:r>
        <w:rPr>
          <w:rStyle w:val="FootnoteCharacters"/>
          <w:rStyle w:val="FootnoteReference"/>
        </w:rPr>
        <w:footnoteReference w:id="96"/>
      </w:r>
      <w:r>
        <w:rPr/>
        <w:t xml:space="preserve">  In contrast, particularly during the summer peak period, such as California is experiencing now, the reality is quite different.  Peaking plants are able to generate at a substantial load factor, and command higher prices than normal during this period of time.  And, as discussed above, the owners of the municipal generation units have admitted as much. The generators, who are members of SCGC, have consistently shown themselves to be capable of operating in a market environment, even though their counsel do not believe them to be so capable.  As we have noted above, the SCGC Municipals have learned how to contract for a portion of their requirements at firm capacity levels, how to use short term or non-firm or interruptible resources when needed to meet their peak requirements, and how to make substantial profits when market conditions permit.  These sorts of customers will benefit from the opportunities available under the CSA.</w:t>
      </w:r>
    </w:p>
    <w:p>
      <w:pPr>
        <w:pStyle w:val="BodyText"/>
        <w:keepLines/>
        <w:widowControl/>
        <w:rPr/>
      </w:pPr>
      <w:r>
        <w:rPr/>
        <w:t>Thus, for all these reasons, the Commission should reject the IS/PIS and adopt the CSA as the superior alternative.</w:t>
      </w:r>
    </w:p>
    <w:p>
      <w:pPr>
        <w:pStyle w:val="BodyText"/>
        <w:spacing w:lineRule="auto" w:line="240"/>
        <w:ind w:hanging="720" w:start="720" w:end="0"/>
        <w:rPr>
          <w:b/>
          <w:caps/>
        </w:rPr>
      </w:pPr>
      <w:r>
        <w:rPr>
          <w:b/>
          <w:caps/>
        </w:rPr>
      </w:r>
    </w:p>
    <w:p>
      <w:pPr>
        <w:pStyle w:val="BodyText"/>
        <w:spacing w:lineRule="auto" w:line="240"/>
        <w:ind w:hanging="720" w:start="720" w:end="0"/>
        <w:rPr/>
      </w:pPr>
      <w:r>
        <w:rPr>
          <w:b/>
          <w:caps/>
        </w:rPr>
        <w:t>iii.</w:t>
        <w:tab/>
        <w:t>the ARGUMENTS OF TURN ARE INADEQUATE TO SUPPORT ADOPTION OF THE interim SETTLEMENT/post-interim settlement.</w:t>
      </w:r>
      <w:r>
        <w:rPr>
          <w:caps/>
        </w:rPr>
        <w:t xml:space="preserve"> </w:t>
      </w:r>
    </w:p>
    <w:p>
      <w:pPr>
        <w:pStyle w:val="BodyText"/>
        <w:spacing w:lineRule="auto" w:line="240"/>
        <w:ind w:hanging="720" w:start="720" w:end="0"/>
        <w:rPr>
          <w:caps/>
        </w:rPr>
      </w:pPr>
      <w:r>
        <w:rPr>
          <w:caps/>
        </w:rPr>
      </w:r>
    </w:p>
    <w:p>
      <w:pPr>
        <w:pStyle w:val="BodyText"/>
        <w:ind w:hanging="0" w:end="0"/>
        <w:rPr/>
      </w:pPr>
      <w:r>
        <w:rPr>
          <w:caps/>
        </w:rPr>
        <w:tab/>
        <w:tab/>
        <w:t>T</w:t>
      </w:r>
      <w:r>
        <w:rPr/>
        <w:t>he Opening Brief of TURN provides no more support for adoption of the Post Interim Settlement than that of SCGC.  Time and again, TURN seeks to justify the status quo approach of the IS/PIS by mischaracterizing the issues in this proceeding as a conflict between the interests of customers and marketers.  TURN chooses to ignore that the primary representative of residential customers in this state, ORA, supports the Comprehensive Settlement Agreement, and that far more customers of other types support the CSA than support the IS/PIS.</w:t>
      </w:r>
      <w:r>
        <w:rPr>
          <w:rStyle w:val="FootnoteCharacters"/>
          <w:rStyle w:val="FootnoteReference"/>
        </w:rPr>
        <w:footnoteReference w:id="97"/>
      </w:r>
    </w:p>
    <w:p>
      <w:pPr>
        <w:pStyle w:val="BodyText"/>
        <w:ind w:hanging="0" w:end="0"/>
        <w:rPr/>
      </w:pPr>
      <w:r>
        <w:rPr/>
        <w:tab/>
        <w:tab/>
        <w:t>TURN consistently engages in self-serving descriptions of the CSA and the IS/PIS, claiming that “most proponents [of the CSA] cite the opportunities for marketers resulting from system flexibility.”</w:t>
      </w:r>
      <w:r>
        <w:rPr>
          <w:rStyle w:val="FootnoteCharacters"/>
          <w:rStyle w:val="FootnoteReference"/>
        </w:rPr>
        <w:footnoteReference w:id="98"/>
      </w:r>
      <w:r>
        <w:rPr/>
        <w:t xml:space="preserve">  However, TURN cites none of the proponents of the CSA, only Mr. Weil, an opponent of the CSA.  Enron and WGSI submit that Mr. Weil’s testimony demonstrated that he made less than a thorough investigation of the record in the case, and is not qualified to judge why other parties support the CSA.</w:t>
      </w:r>
      <w:r>
        <w:rPr>
          <w:rStyle w:val="FootnoteCharacters"/>
          <w:rStyle w:val="FootnoteReference"/>
        </w:rPr>
        <w:footnoteReference w:id="99"/>
      </w:r>
    </w:p>
    <w:p>
      <w:pPr>
        <w:pStyle w:val="BodyText"/>
        <w:widowControl/>
        <w:ind w:hanging="0" w:end="0"/>
        <w:rPr/>
      </w:pPr>
      <w:r>
        <w:rPr/>
        <w:tab/>
        <w:tab/>
        <w:t>In contrast, the Indicated Electric Generator parties stated  support the CSA because it provided an opportunity for lower prices for generators, as well as firmer, more reliable service.</w:t>
      </w:r>
      <w:r>
        <w:rPr>
          <w:rStyle w:val="FootnoteCharacters"/>
          <w:rStyle w:val="FootnoteReference"/>
        </w:rPr>
        <w:footnoteReference w:id="100"/>
      </w:r>
      <w:r>
        <w:rPr/>
        <w:t xml:space="preserve">  Enron supports the settlement because unbundling and citygate pricing present more opportunities for customers, not merely marketers.</w:t>
      </w:r>
      <w:r>
        <w:rPr>
          <w:rStyle w:val="FootnoteCharacters"/>
          <w:rStyle w:val="FootnoteReference"/>
        </w:rPr>
        <w:footnoteReference w:id="101"/>
      </w:r>
      <w:r>
        <w:rPr/>
        <w:t xml:space="preserve">  WGSI supports the CSA because it offers customers an enhanced ability to manage their gas supplies, including, but not limited to, competitive or unbundled storage services.</w:t>
      </w:r>
      <w:r>
        <w:rPr>
          <w:rStyle w:val="FootnoteCharacters"/>
          <w:rStyle w:val="FootnoteReference"/>
        </w:rPr>
        <w:footnoteReference w:id="102"/>
      </w:r>
      <w:r>
        <w:rPr/>
        <w:t xml:space="preserve">  ORA supports the CSA for a number of reasons,  including firmer, more reliable core transmission rights and the opportunity to obtain more value from assets which the core has traditionally had to pay for but could not market to others when in excess to the core’s needs.</w:t>
      </w:r>
      <w:r>
        <w:rPr>
          <w:rStyle w:val="FootnoteCharacters"/>
          <w:rStyle w:val="FootnoteReference"/>
        </w:rPr>
        <w:footnoteReference w:id="103"/>
      </w:r>
      <w:r>
        <w:rPr/>
        <w:t xml:space="preserve">  This extremely short recitation demonstrates that TURN is flatly distorting the record when it attempts to imply via its  witness’ biased perspectives that entities support the CSA because of the increased opportunities for marketers.</w:t>
      </w:r>
    </w:p>
    <w:p>
      <w:pPr>
        <w:pStyle w:val="BodyText"/>
        <w:ind w:hanging="0" w:end="0"/>
        <w:rPr/>
      </w:pPr>
      <w:r>
        <w:rPr/>
        <w:tab/>
        <w:tab/>
        <w:t>One of the most astonishing statements of Aglet witness Weil, quoted with approval by TURN, is that Mr. Weil does not see any gross inefficiencies in the SoCalGas system.</w:t>
      </w:r>
      <w:r>
        <w:rPr>
          <w:rStyle w:val="FootnoteCharacters"/>
          <w:rStyle w:val="FootnoteReference"/>
        </w:rPr>
        <w:footnoteReference w:id="104"/>
      </w:r>
      <w:r>
        <w:rPr/>
        <w:t xml:space="preserve">  Under existing ratemaking procedures, customers, including TURN’s core constituency,  have to pay for transmission, storage, and balancing services that they do not need, (solely because the services are bundled or because ratepayers are at risk) to guarantee SoCalGas’s cost recovery.  This is an inefficiency.   Paying for something you do not want and do not need is, by most reasonable people’s definition, grossly inefficient.</w:t>
      </w:r>
    </w:p>
    <w:p>
      <w:pPr>
        <w:pStyle w:val="BodyText"/>
        <w:ind w:hanging="0" w:end="0"/>
        <w:rPr/>
      </w:pPr>
      <w:r>
        <w:rPr/>
        <w:tab/>
        <w:tab/>
        <w:t>To its credit, TURN does agree with Indicated Electric Generators witness Beach that PG&amp;E and SoCalGas had many of the same sorts of problems on their systems in past years.</w:t>
      </w:r>
      <w:r>
        <w:rPr>
          <w:rStyle w:val="FootnoteCharacters"/>
          <w:rStyle w:val="FootnoteReference"/>
        </w:rPr>
        <w:footnoteReference w:id="105"/>
      </w:r>
      <w:r>
        <w:rPr/>
        <w:t xml:space="preserve">  However, the error in TURN’s subsequent reasoning is that it assumes that the IS/PIS’s elimination of the current windowing rules will solve customers’ complaints.  It will not.  As explained by several witnesses, using firm physical capacity rights at the border receipt points merely moves the pro-rationing process upstream to the interstate pipelines.</w:t>
      </w:r>
      <w:r>
        <w:rPr>
          <w:rStyle w:val="FootnoteCharacters"/>
          <w:rStyle w:val="FootnoteReference"/>
        </w:rPr>
        <w:footnoteReference w:id="106"/>
      </w:r>
      <w:r>
        <w:rPr/>
        <w:t xml:space="preserve">  The customer faces the same fundamental uncertainty as under the current process.  Only the CSA, with its implementation of firm intrastate transmission rights, offers customers the assurance that once firm rights are obtained, the customer can be certain of flowing its gas on any given day.  When customers do not possess firm intrastate rights, the upstream pipeline does not know until the final nominations for a given gas day whether or not competing nominations will force a prorationing of its deliveries to SoCalGas.  In contrast, when a shipper on the interstate system has a firm intrastate right to match its nomination on the interstate, that gas will flow, irrespective of other nominations by parties without firm intrastate rights, who remain potentially subject to prorationing.</w:t>
      </w:r>
    </w:p>
    <w:p>
      <w:pPr>
        <w:pStyle w:val="BodyText"/>
        <w:ind w:hanging="0" w:end="0"/>
        <w:rPr/>
      </w:pPr>
      <w:r>
        <w:rPr/>
        <w:tab/>
        <w:tab/>
        <w:t>In this same discussion, TURN makes yet another mischaracterization about marketers, claiming that path-based capacity rights on the PG&amp;E system have only benefited marketers.</w:t>
      </w:r>
      <w:r>
        <w:rPr>
          <w:rStyle w:val="FootnoteCharacters"/>
          <w:rStyle w:val="FootnoteReference"/>
        </w:rPr>
        <w:footnoteReference w:id="107"/>
      </w:r>
      <w:r>
        <w:rPr/>
        <w:t xml:space="preserve">  It is difficult to reconcile this statement with the evidence offered by Indicated Electric Generators witness Beach, who demonstrated that customers are receiving significant price benefits from the citygate market, benefits achieved at the expense of firm transmission rights holders, such as marketers.</w:t>
      </w:r>
      <w:r>
        <w:rPr>
          <w:rStyle w:val="FootnoteCharacters"/>
          <w:rStyle w:val="FootnoteReference"/>
        </w:rPr>
        <w:footnoteReference w:id="108"/>
      </w:r>
      <w:r>
        <w:rPr/>
        <w:t xml:space="preserve">  Other than Mr. Weil’s personal opinion that he does not believe that this trend will continue, neither TURN nor SCGC have presented any evidence to demonstrate that lower citygate pricing will not continue.  Furthermore, as indicated by Mr. Beach, the citygate savings are persisting even with relative parity between the prices at the two opposite ends of the PG&amp;E system, which is precisely the situation found on the SoCalGas system.</w:t>
      </w:r>
      <w:r>
        <w:rPr>
          <w:rStyle w:val="FootnoteCharacters"/>
          <w:rStyle w:val="FootnoteReference"/>
        </w:rPr>
        <w:footnoteReference w:id="109"/>
      </w:r>
      <w:r>
        <w:rPr/>
        <w:t xml:space="preserve">  </w:t>
      </w:r>
    </w:p>
    <w:p>
      <w:pPr>
        <w:pStyle w:val="BodyText"/>
        <w:ind w:hanging="0" w:end="0"/>
        <w:rPr/>
      </w:pPr>
      <w:r>
        <w:rPr/>
        <w:tab/>
        <w:tab/>
        <w:t>Enron and WGSI also reject TURN’s attempt to fabricate distinctions between the PG&amp;E system and the SoCalGas system by trying to claim that the unbundling achieved in the Gas Accord was a direct quid pro quo for settling reasonableness review issues.</w:t>
      </w:r>
      <w:r>
        <w:rPr>
          <w:rStyle w:val="FootnoteCharacters"/>
          <w:rStyle w:val="FootnoteReference"/>
        </w:rPr>
        <w:footnoteReference w:id="110"/>
      </w:r>
      <w:r>
        <w:rPr/>
        <w:t xml:space="preserve">  TURN speculates, without any record evidence, that PG&amp;E compromised on the reasonableness review issues in exchange for other benefits, which TURN implies are advantages PG&amp;E will obtain from unbundling.</w:t>
      </w:r>
      <w:r>
        <w:rPr>
          <w:rStyle w:val="FootnoteCharacters"/>
          <w:rStyle w:val="FootnoteReference"/>
        </w:rPr>
        <w:footnoteReference w:id="111"/>
      </w:r>
      <w:r>
        <w:rPr/>
        <w:t xml:space="preserve">  TURN fails to recognize that PG&amp;E may have agreed to compromise the reasonableness issues in order to avoid greater exposure for the full amount of the gas costs contested by ORA and TURN.  In any event, as the record contains no evidence of why PG&amp;E agreed to a given portion of the Gas Accord, it is wholly improper for TURN to rely on its rank speculation that PG&amp;E settled reasonableness review issues solely because it expected shareholder benefits from unbundled transmission.</w:t>
      </w:r>
    </w:p>
    <w:p>
      <w:pPr>
        <w:pStyle w:val="BodyText"/>
        <w:ind w:hanging="0" w:end="0"/>
        <w:rPr/>
      </w:pPr>
      <w:r>
        <w:rPr/>
        <w:tab/>
        <w:tab/>
        <w:t>Another substantial disagreement between TURN and the supporters of the CSA, including ORA, concerns core transmission rights.  TURN claims that the core loses flexibility, because it must reserve firm intrastate rights, instead of simply nominating its needs.</w:t>
      </w:r>
      <w:r>
        <w:rPr>
          <w:rStyle w:val="FootnoteCharacters"/>
          <w:rStyle w:val="FootnoteReference"/>
        </w:rPr>
        <w:footnoteReference w:id="112"/>
      </w:r>
      <w:r>
        <w:rPr/>
        <w:t xml:space="preserve">  However, TURN neglects to mention that under the present situation, the core must plan for the possibility of having its nominations prorated at the border, and the Gas Acquisition Department must purchase extra gas and retain interstate capacity to plan for that eventuality.</w:t>
      </w:r>
      <w:r>
        <w:rPr>
          <w:rStyle w:val="FootnoteCharacters"/>
          <w:rStyle w:val="FootnoteReference"/>
        </w:rPr>
        <w:footnoteReference w:id="113"/>
      </w:r>
      <w:r>
        <w:rPr>
          <w:b/>
        </w:rPr>
        <w:t xml:space="preserve">  </w:t>
      </w:r>
      <w:r>
        <w:rPr/>
        <w:t>In contrast, ORA witness Pocta believes that the CSA provides the core with substantially more reliable transmission rights, along with additional flexibility provided by the ability to both purchase and sell capacity in the as-available and secondary markets.</w:t>
      </w:r>
      <w:r>
        <w:rPr>
          <w:rStyle w:val="FootnoteCharacters"/>
          <w:rStyle w:val="FootnoteReference"/>
        </w:rPr>
        <w:footnoteReference w:id="114"/>
      </w:r>
      <w:r>
        <w:rPr/>
        <w:t xml:space="preserve"> </w:t>
      </w:r>
    </w:p>
    <w:p>
      <w:pPr>
        <w:pStyle w:val="BodyText"/>
        <w:ind w:hanging="0" w:end="0"/>
        <w:rPr/>
      </w:pPr>
      <w:r>
        <w:rPr/>
        <w:tab/>
        <w:tab/>
        <w:t>TURN’s discussion at page 32 of its brief is emblematic of its attempt to belittle the benefits of the CSA for the core, while ignoring the increased flexibility unbundling provides.  TURN cannot have it both ways.  If it worries that secondary capacity will be scarce and expensive, then it cannot ignore the fact that the core can obtain substantial value by selling its excess capacity, thereby partially offsetting the costs allocated to it.  If, on the other hand, as TURN often suggests, the secondary market is thin and there is little demand for it, capacity prices will be low, and the core can acquire extra capacity without excessive cost.  This pattern occurs time and again in the TURN brief.  The increased transmission costs calculated by SCGC witness Yap, cited at page 32 of the TURN brief, fail to include even a single dollar of offsetting secondary market sales of excess core capacity.  Apparently, the assumption is that the Gas Acquisition Department of SoCalGas will be fitted with blinders and earplugs.  Just two pages later, TURN reproduces witness Yap’s “conservative” calculation of the cost of secondary peaking capacity for the core, which is actually based on the maximum as-available rate, not a market-based assessment of secondary market prices.  To be consistent, TURN should acknowledge that when the core does not need all of its reserved capacity, it can obtain additional value for that capacity.  However, the TURN brief is woefully lacking in such even handed analysis.</w:t>
      </w:r>
    </w:p>
    <w:p>
      <w:pPr>
        <w:pStyle w:val="BodyText"/>
        <w:keepLines/>
        <w:widowControl/>
        <w:ind w:hanging="0" w:end="0"/>
        <w:rPr/>
      </w:pPr>
      <w:r>
        <w:rPr/>
        <w:tab/>
        <w:tab/>
        <w:t>Nor is TURN’s analysis of potential capacity costs even realistic.  Again, TURN is relying on the same assumption in the Yap calculations of 100% firm capacity purchases by the core.  There is NO record evidence that the core or any customer is likely to actually purchase gas in this manner.  Neither TURN, nor SCGC, attempted to calculate the potential costs and benefits of the core purchasing only 37% of its peak requirements through firm capacity -- which is coincidentally exactly how many of the members of SCGC purchase their firm intrastate and interstate capacity.</w:t>
      </w:r>
      <w:r>
        <w:rPr>
          <w:rStyle w:val="FootnoteCharacters"/>
          <w:rStyle w:val="FootnoteReference"/>
        </w:rPr>
        <w:footnoteReference w:id="115"/>
      </w:r>
    </w:p>
    <w:p>
      <w:pPr>
        <w:pStyle w:val="BodyText"/>
        <w:rPr/>
      </w:pPr>
      <w:r>
        <w:rPr/>
        <w:t xml:space="preserve">If the Commission seeks a customer-driven settlement, there is only one -- the CSA.  As discussed in connection with the rebuttal of SCGC’s position, the interests of customers and marketers are aligned under the CSA. To the extent that the supporters of the IS/PIS attempt to claim that a marketer can force any customer to use its services, such a statement is unsubstantiated nonsense.  The hallmark of the CSA is its multiplicity of opportunities for shippers, including extra opportunities for existing customers, to obtain the transmission, storage, and balancing capacities required to serve their own needs.  The CSA allows producers and marketers to be participants in the gas marketplace, but it does not grant them a dominant position. </w:t>
      </w:r>
    </w:p>
    <w:p>
      <w:pPr>
        <w:pStyle w:val="BodyText"/>
        <w:spacing w:lineRule="auto" w:line="240"/>
        <w:ind w:hanging="720" w:start="2160" w:end="0"/>
        <w:rPr>
          <w:b/>
          <w:u w:val="single"/>
        </w:rPr>
      </w:pPr>
      <w:r>
        <w:rPr>
          <w:b/>
        </w:rPr>
        <w:t>A.</w:t>
        <w:tab/>
      </w:r>
      <w:r>
        <w:rPr>
          <w:b/>
          <w:u w:val="single"/>
        </w:rPr>
        <w:t>Core Interstate Capacity Unbundling and Other Benefits for Core Customers</w:t>
      </w:r>
    </w:p>
    <w:p>
      <w:pPr>
        <w:pStyle w:val="BodyText"/>
        <w:spacing w:lineRule="auto" w:line="240"/>
        <w:ind w:hanging="720" w:start="2160" w:end="0"/>
        <w:rPr>
          <w:b/>
          <w:u w:val="single"/>
        </w:rPr>
      </w:pPr>
      <w:r>
        <w:rPr>
          <w:b/>
          <w:u w:val="single"/>
        </w:rPr>
      </w:r>
    </w:p>
    <w:p>
      <w:pPr>
        <w:pStyle w:val="BodyText"/>
        <w:rPr/>
      </w:pPr>
      <w:r>
        <w:rPr/>
        <w:t>As TURN admits, on the crucial issue of ending the core’s responsibility to pay for ITCS, both the CSA and the Post Interim Settlement achieve the same objective, namely, an end to the 10% contribution by the core.</w:t>
      </w:r>
      <w:r>
        <w:rPr>
          <w:rStyle w:val="FootnoteCharacters"/>
          <w:rStyle w:val="FootnoteReference"/>
        </w:rPr>
        <w:footnoteReference w:id="116"/>
      </w:r>
      <w:r>
        <w:rPr/>
        <w:t xml:space="preserve">  Thus, there is no advantage to the IS/PIS over the CSA on this issue.  TURN incorrectly argues that all of the benefit to the core comes from this one provision of the CSA, ignoring the substantial list of other benefits and opportunities for earning revenues to offset core costs which are made available only in the CSA.</w:t>
      </w:r>
      <w:r>
        <w:rPr>
          <w:rStyle w:val="FootnoteCharacters"/>
          <w:rStyle w:val="FootnoteReference"/>
        </w:rPr>
        <w:footnoteReference w:id="117"/>
      </w:r>
      <w:r>
        <w:rPr/>
        <w:t xml:space="preserve">  While these benefits will have to be realized once the CSA is implemented, they are tangible benefits, not mere speculation.</w:t>
      </w:r>
    </w:p>
    <w:p>
      <w:pPr>
        <w:pStyle w:val="BodyText"/>
        <w:widowControl/>
        <w:rPr/>
      </w:pPr>
      <w:r>
        <w:rPr/>
        <w:t>Furthermore, in its discussion of benefits, TURN goes so far as to catalogue the savings which customers, including those served by CTAs, could obtain from unbundled storage and balancing—a total of 8.1 cents per decatherm for unbundling of all types of storage, increasing to a total of 9.7 cents per decatherm for a customer choosing self balancing.</w:t>
      </w:r>
      <w:r>
        <w:rPr>
          <w:rStyle w:val="FootnoteCharacters"/>
          <w:rStyle w:val="FootnoteReference"/>
        </w:rPr>
        <w:footnoteReference w:id="118"/>
      </w:r>
      <w:r>
        <w:rPr/>
        <w:t xml:space="preserve">   At that point, TURN simply drops the thread of the argument, stating, “thus it is not surprising that in discussing the potential benefits for core transport customers, all witnesses eventually focus on interstate capacity unbundling.”</w:t>
      </w:r>
      <w:r>
        <w:rPr>
          <w:rStyle w:val="FootnoteCharacters"/>
          <w:rStyle w:val="FootnoteReference"/>
        </w:rPr>
        <w:footnoteReference w:id="119"/>
      </w:r>
      <w:r>
        <w:rPr/>
        <w:t xml:space="preserve">  There is no discussion, let alone recognition, on TURN’s part that these savings from unbundled transmission, storage and balancing are, in fact, significant savings which will induce CTAs to expand their service offerings and which will enable the same CTAs to pass a portion of these savings on to </w:t>
      </w:r>
      <w:r>
        <w:rPr>
          <w:u w:val="single"/>
        </w:rPr>
        <w:t>core customers</w:t>
      </w:r>
      <w:r>
        <w:rPr/>
        <w:t xml:space="preserve">.  Why TURN places no value on a CTA program that can offer these greater savings to more core customers is not evident from this record.   It should suffice to remind the Commission that ORA has clearly stated that it </w:t>
      </w:r>
    </w:p>
    <w:p>
      <w:pPr>
        <w:pStyle w:val="BodyText"/>
        <w:widowControl/>
        <w:ind w:hanging="0" w:end="0"/>
        <w:rPr/>
      </w:pPr>
      <w:r>
        <w:rPr/>
        <w:t>sees the value in unbundled transmission, storage, and balancing, and is willing to participate in the give and take of a settlement in order to obtain the right for core customers to take advantage of such opportunities through the CTA program.</w:t>
      </w:r>
      <w:r>
        <w:rPr>
          <w:rStyle w:val="FootnoteCharacters"/>
          <w:rStyle w:val="FootnoteReference"/>
        </w:rPr>
        <w:footnoteReference w:id="120"/>
      </w:r>
    </w:p>
    <w:p>
      <w:pPr>
        <w:pStyle w:val="BodyText"/>
        <w:rPr/>
      </w:pPr>
      <w:r>
        <w:rPr/>
        <w:t xml:space="preserve">TURN also argues that the SoCalGas CTA program will not expand because the PG&amp;E CTA program exhibited only limited growth when interstate capacity and storage were unbundled. </w:t>
      </w:r>
      <w:r>
        <w:rPr>
          <w:rStyle w:val="FootnoteCharacters"/>
          <w:rStyle w:val="FootnoteReference"/>
        </w:rPr>
        <w:footnoteReference w:id="121"/>
      </w:r>
      <w:r>
        <w:rPr/>
        <w:t xml:space="preserve">  This argument fails to take into account the fact that intrastate capacity and balancing are important and interrelated elements of a gas supply solution.  Until the adoption of the PG&amp;E Comprehensive Gas OII Settlement this spring and the submission of the CSA, it was not possible for CTAs to take full responsibility for their own supply and reliability arrangements.  Nor was it possible to multiply the effect of these savings by marketing in both PG&amp;E and SoCalGas service territories.  Only in PG&amp;E’s area had two of the four key elements of gas supply been unbundled.  The combined effect of a comprehensive unbundling with a larger statewide market holds out the promise of a much more successful and attractive CTA program.  The program may never expand to include the majority of core customers, but under the provisions of the CSA, the savings available for core customers will increase significantly from those available under the program today.</w:t>
      </w:r>
    </w:p>
    <w:p>
      <w:pPr>
        <w:pStyle w:val="BodyText"/>
        <w:rPr>
          <w:b/>
        </w:rPr>
      </w:pPr>
      <w:r>
        <w:rPr>
          <w:b/>
        </w:rPr>
        <w:t>B.</w:t>
        <w:tab/>
      </w:r>
      <w:r>
        <w:rPr>
          <w:b/>
          <w:u w:val="single"/>
        </w:rPr>
        <w:t>Intrastate Transmission Unbundling</w:t>
      </w:r>
    </w:p>
    <w:p>
      <w:pPr>
        <w:pStyle w:val="BodyText"/>
        <w:rPr/>
      </w:pPr>
      <w:r>
        <w:rPr/>
        <w:t>TURN falls into the same perplexing habit as SCGC by continually asserting that intrastate unbundling will result in higher costs and less reliability for customers.</w:t>
      </w:r>
      <w:r>
        <w:rPr>
          <w:rStyle w:val="FootnoteCharacters"/>
          <w:rStyle w:val="FootnoteReference"/>
        </w:rPr>
        <w:footnoteReference w:id="122"/>
      </w:r>
      <w:r>
        <w:rPr/>
        <w:t xml:space="preserve">  Enron and WGSI believe this argument has been effectively refuted in the discussion on the SCGC brief above.  However, TURN makes other assertions in this area which are equally indefensible.  TURN claims in its opening brief that the open season is not a value based means of allocating capacity.</w:t>
      </w:r>
      <w:r>
        <w:rPr>
          <w:rStyle w:val="FootnoteCharacters"/>
          <w:rStyle w:val="FootnoteReference"/>
        </w:rPr>
        <w:footnoteReference w:id="123"/>
      </w:r>
      <w:r>
        <w:rPr/>
        <w:t xml:space="preserve">  In fact, the embedded cost of transmission multiplied by the length of term the customer is willing to bid for the contract does result in a value calculation.  The CSA proponents concede that it is not a pure auction value, but it is, in fact, a value-based method which has been adopted by the Commission in past proceedings and will, and has, functioned effectively.  Enron and WGSI would argue that the result of the IS/PIS settlement,(</w:t>
      </w:r>
      <w:r>
        <w:rPr>
          <w:i/>
        </w:rPr>
        <w:t>i.e.</w:t>
      </w:r>
      <w:r>
        <w:rPr/>
        <w:t>, a capacity allocation system which results in a purely volumetric rate but with no firm rights for capacity, and constant multiple prorationing of capacity on a daily basis by the gas utility or interstate pipelines), results in no meaningful price signal at all.   It hardly can be argued, as does TURN, that this is more economically efficient.</w:t>
      </w:r>
    </w:p>
    <w:p>
      <w:pPr>
        <w:pStyle w:val="BodyText"/>
        <w:rPr/>
      </w:pPr>
      <w:r>
        <w:rPr/>
        <w:t>TURN makes another astounding assertion in its brief, arguing , in spite of the fact that the CSA requires  SoCalGas to bear 100% of the risk of capacity costs which are not contracted for by customers, that customers will eventually bear these costs.</w:t>
      </w:r>
      <w:r>
        <w:rPr>
          <w:rStyle w:val="FootnoteCharacters"/>
          <w:rStyle w:val="FootnoteReference"/>
        </w:rPr>
        <w:footnoteReference w:id="124"/>
      </w:r>
      <w:r>
        <w:rPr/>
        <w:t xml:space="preserve">  Apparently, TURN believes that the CPUC will adopt the settlement and then unilaterally renege on one of its most important aspects, to the detriment of residential customers.  Enron and WGSI do not believe the Commission is that fickle.  If the Commission adopts the CSA capacity allocation method which requires customers to contract for firm rights and in exchange make the utility 100% at risk for the recovery of these costs, it will do so because that is a system which will send the proper economic incentives to customers and to the utility.  To ignore this contract, and relieve the utility of its obligation to market capacity, throws the entire system out of balance.  The Commission has not taken such an irrational step with regard to the PG&amp;E system created by the Gas Accord, and the proponents of the CSA do not believe the Commission will do any such thing with regard to the SoCalGas system either.  </w:t>
      </w:r>
    </w:p>
    <w:p>
      <w:pPr>
        <w:pStyle w:val="BodyText"/>
        <w:rPr/>
      </w:pPr>
      <w:r>
        <w:rPr/>
        <w:t>TURN also argues that bypass is more likely under the CSA than under the IS/PIS, as indicated in their opening brief.</w:t>
      </w:r>
      <w:r>
        <w:rPr>
          <w:rStyle w:val="FootnoteCharacters"/>
          <w:rStyle w:val="FootnoteReference"/>
        </w:rPr>
        <w:footnoteReference w:id="125"/>
      </w:r>
      <w:r>
        <w:rPr/>
        <w:t xml:space="preserve">  This increased bypass argument is a complete red herring.  If and when new pipelines are built into Southern California, questions will arise regarding how customers’ use of  SoCalGas for a portion of their demand is to be treated for ratemaking purposes.  There is already an application pending before the Commission to permit SoCalGas to create a new form of peaking rate to replace the RLS tariff slated for elimination in the most recent BCAP.  The Commission can resolve these issues in that proceeding or in a subsequent proceeding.  Whether or not a new pipeline is built into Southern California will have more to do with the peaking rate tariff adopted by the Commission than with which intrastate capacity settlement is adopted.  However, there are no bypass costs allocation issues inherent in the CSA.  Nor do any bypass issues have to be resolved in the CSA.  It is simply inaccurate for TURN to claim that the CSA make bypass more likely than the IS/PIS settlement.  </w:t>
      </w:r>
    </w:p>
    <w:p>
      <w:pPr>
        <w:pStyle w:val="Normal"/>
        <w:ind w:firstLine="720" w:start="720" w:end="0"/>
        <w:rPr>
          <w:b/>
          <w:u w:val="single"/>
        </w:rPr>
      </w:pPr>
      <w:r>
        <w:rPr>
          <w:b/>
        </w:rPr>
        <w:t>C.</w:t>
        <w:tab/>
      </w:r>
      <w:r>
        <w:rPr>
          <w:b/>
          <w:u w:val="single"/>
        </w:rPr>
        <w:t>Storage Unbundling</w:t>
      </w:r>
    </w:p>
    <w:p>
      <w:pPr>
        <w:pStyle w:val="Normal"/>
        <w:ind w:firstLine="720" w:start="720" w:end="0"/>
        <w:rPr>
          <w:b/>
          <w:u w:val="single"/>
        </w:rPr>
      </w:pPr>
      <w:r>
        <w:rPr>
          <w:b/>
          <w:u w:val="single"/>
        </w:rPr>
      </w:r>
    </w:p>
    <w:p>
      <w:pPr>
        <w:pStyle w:val="BodyText"/>
        <w:rPr/>
      </w:pPr>
      <w:r>
        <w:rPr/>
        <w:t>TURN continues to address the storage issue from the point of view of arguing that cross-subsidization of customers’ use of storage is appropriate.</w:t>
      </w:r>
      <w:r>
        <w:rPr>
          <w:rStyle w:val="FootnoteCharacters"/>
          <w:rStyle w:val="FootnoteReference"/>
        </w:rPr>
        <w:footnoteReference w:id="126"/>
      </w:r>
      <w:r>
        <w:rPr/>
        <w:t xml:space="preserve">  As discussed in Enron’s and WGSI’s opening brief, this type of cross subsidization is wrong.</w:t>
      </w:r>
      <w:r>
        <w:rPr>
          <w:rStyle w:val="FootnoteCharacters"/>
          <w:rStyle w:val="FootnoteReference"/>
        </w:rPr>
        <w:footnoteReference w:id="127"/>
      </w:r>
      <w:r>
        <w:rPr/>
        <w:t xml:space="preserve">  It is also not consistent with the Commission’s promising option regarding balancing, which sought to allow the core and non-core to balance their usage without resort to each others’ capacity.</w:t>
      </w:r>
      <w:r>
        <w:rPr>
          <w:rStyle w:val="FootnoteCharacters"/>
          <w:rStyle w:val="FootnoteReference"/>
        </w:rPr>
        <w:footnoteReference w:id="128"/>
      </w:r>
      <w:r>
        <w:rPr/>
        <w:t xml:space="preserve">  TURN’s argument also ignores the significant benefits to customers by having SoCalGas 100% at risk for uncontracted-for storage.  TURN’s reaction appears to be a desire to have customers keep paying for capacity they do not use.  TURN is, in effect, arguing that the core is losing flexibility because it has less storage allocated to it for reliability and balancing purposes.  But, if the capacities allotted to the core and the CSA are fully adequate to balance the core’s demand, as SoCalGas has testified, TURN is essentially arguing that customers which have been paying for excessive and unnecessary capacity in the past should continue to do so.  Enron and WGSI do not believe that a truly discerning representative of core customer interest would take such a position. </w:t>
      </w:r>
    </w:p>
    <w:p>
      <w:pPr>
        <w:pStyle w:val="BodyText"/>
        <w:rPr/>
      </w:pPr>
      <w:r>
        <w:rPr/>
        <w:t>Finally, TURN argues that customer imbalances result as much from attempts to maximize price arbitrage as from changes in usage.</w:t>
      </w:r>
      <w:r>
        <w:rPr>
          <w:rStyle w:val="FootnoteCharacters"/>
          <w:rStyle w:val="FootnoteReference"/>
        </w:rPr>
        <w:footnoteReference w:id="129"/>
      </w:r>
      <w:r>
        <w:rPr/>
        <w:t xml:space="preserve">  This is, in fact, sometimes the case.  What Enron and WGSI do not understand is why TURN would advocate a balancing costs allocation which would allow customers to attempt to swing on the system for arbitrage purposes, without any costs consequences.  It does not matter whether the imbalance a customer creates is because of its actual burn or because of its acquiring or selling of gas to engage in arbitrage.  The effect on the system is the same. And the costs consequence for the customer should be the same as well. </w:t>
      </w:r>
    </w:p>
    <w:p>
      <w:pPr>
        <w:pStyle w:val="BodyText"/>
        <w:rPr>
          <w:b/>
        </w:rPr>
      </w:pPr>
      <w:r>
        <w:rPr>
          <w:b/>
        </w:rPr>
        <w:t>D.</w:t>
        <w:tab/>
      </w:r>
      <w:r>
        <w:rPr>
          <w:b/>
          <w:u w:val="single"/>
        </w:rPr>
        <w:t>Unbundled Balancing</w:t>
      </w:r>
    </w:p>
    <w:p>
      <w:pPr>
        <w:pStyle w:val="BodyText"/>
        <w:rPr/>
      </w:pPr>
      <w:r>
        <w:rPr/>
        <w:t>TURN makes the  remarkable argument that customers should only pay for the capacities required for the average usage they impose on the system.</w:t>
      </w:r>
      <w:r>
        <w:rPr>
          <w:rStyle w:val="FootnoteCharacters"/>
          <w:rStyle w:val="FootnoteReference"/>
        </w:rPr>
        <w:footnoteReference w:id="130"/>
      </w:r>
      <w:r>
        <w:rPr/>
        <w:t xml:space="preserve">  TURN appears to contend that customers should not bear any cost consequences from non-average use, even if, in the extreme case, a customer used all of the balancing capacity on the system by itself on a single peak day.  Customers who are billed for the imbalancing services based exclusively on average annual use, may have widely differing impacts on the system depending on how much they swing on or off the system on a non-average day.  Enron and WGSI believe that TURN’s proposal is a completely irresponsible means to allocate balancing capacity costs and that customers should bear the costs that they impose on the system.  </w:t>
      </w:r>
    </w:p>
    <w:p>
      <w:pPr>
        <w:pStyle w:val="BodyText"/>
        <w:rPr/>
      </w:pPr>
      <w:r>
        <w:rPr/>
        <w:t>In this same discussion, TURN argues that averaging balancing costs avoids the “regulatory morass of attempting segregation by costs causation for any customer who imposes a difference in cost.”</w:t>
      </w:r>
      <w:r>
        <w:rPr>
          <w:rStyle w:val="FootnoteCharacters"/>
          <w:rStyle w:val="FootnoteReference"/>
        </w:rPr>
        <w:footnoteReference w:id="131"/>
      </w:r>
      <w:r>
        <w:rPr/>
        <w:t xml:space="preserve">  This is a remarkable assertion by TURN and completely inconsistent with the argument that it has made for many, many years that core customers should not have borne any of the ITCS costs because core customers did not cause those stranded costs to be incurred.  Either cost causation is a principle to be applied consistently or it is merely an argument that is just pulled out as needed to support particular positions in particular cases.   TURN is apparently using the cost causation argument in the latter sense.</w:t>
      </w:r>
    </w:p>
    <w:p>
      <w:pPr>
        <w:pStyle w:val="BodyText"/>
        <w:rPr>
          <w:b/>
          <w:u w:val="single"/>
        </w:rPr>
      </w:pPr>
      <w:r>
        <w:rPr/>
        <w:t>TURN last argues that the primary effect of the unbundled storage balancing provisions of the CSA is to increase the demand for unbundled storage and hub services provided by SoCalGas and independent storage providers.</w:t>
      </w:r>
      <w:r>
        <w:rPr>
          <w:rStyle w:val="FootnoteCharacters"/>
          <w:rStyle w:val="FootnoteReference"/>
        </w:rPr>
        <w:footnoteReference w:id="132"/>
      </w:r>
      <w:r>
        <w:rPr/>
        <w:t xml:space="preserve">  There is no evidence for this assertion; only the opinion of TURN witness Florio.  However, such an assertion by TURN’s witness would appear to assume that customers will not respond to financial incentives and change their behavior to stay more in balance on the system.  This seems to imply that customers and shippers alike will not take advantage of the opportunities to minimize their costs or even gain revenues by remaining in a responsible balancing position and trading their position with those customers who are not as closely balanced.  To the extent that customers wish to use additional storage balancing resources to do so, customers may actually earn additional revenues from this process.  If this means that more of the existing storage in Southern California or new storage is utilized, Enron and WGSI fail to see the problem.  Customers will always have the opportunity to continue to swing on the system up to the limits of the 10% monthly balance rules under the CSA.  Unless they are behaving completely irrationally, they would not contract for extra storage or balancing services except where it was financially more advantageous to do so than to stay with the 10% monthly limitations.  If, in fact, they can manage their supplies with the addition of unbundled storage resources to stay within the tighter daily balanced tolerances and by so doing avoid the balancing costs that would otherwise be computed to them by SoCalGas, customers come out ahead.  </w:t>
      </w:r>
    </w:p>
    <w:p>
      <w:pPr>
        <w:pStyle w:val="BodyText"/>
        <w:spacing w:lineRule="auto" w:line="240"/>
        <w:ind w:hanging="720" w:start="2160" w:end="0"/>
        <w:rPr>
          <w:b/>
          <w:u w:val="single"/>
        </w:rPr>
      </w:pPr>
      <w:r>
        <w:rPr>
          <w:b/>
        </w:rPr>
        <w:t>E.</w:t>
        <w:tab/>
      </w:r>
      <w:r>
        <w:rPr>
          <w:b/>
          <w:u w:val="single"/>
        </w:rPr>
        <w:t>Embedded Costs Methodology For Pricing Capacity vs. Long Run Marginal Costs Methodology</w:t>
      </w:r>
    </w:p>
    <w:p>
      <w:pPr>
        <w:pStyle w:val="BodyText"/>
        <w:spacing w:lineRule="auto" w:line="240"/>
        <w:ind w:hanging="720" w:start="2160" w:end="0"/>
        <w:rPr>
          <w:b/>
          <w:u w:val="single"/>
        </w:rPr>
      </w:pPr>
      <w:r>
        <w:rPr>
          <w:b/>
          <w:u w:val="single"/>
        </w:rPr>
      </w:r>
    </w:p>
    <w:p>
      <w:pPr>
        <w:pStyle w:val="BodyText"/>
        <w:rPr/>
      </w:pPr>
      <w:r>
        <w:rPr/>
        <w:t>TURN argues against the provisions of the CSA which result in the adoption of embedded costs pricing for transmission and storage.</w:t>
      </w:r>
      <w:r>
        <w:rPr>
          <w:rStyle w:val="FootnoteCharacters"/>
          <w:rStyle w:val="FootnoteReference"/>
        </w:rPr>
        <w:footnoteReference w:id="133"/>
      </w:r>
      <w:r>
        <w:rPr/>
        <w:t xml:space="preserve">  In point of fact, the CSA avoids future fights, such as those TURN has repeatedly engaged in, over long-run marginal costs pricing of storage.  Further, the CSA keeps the overall core and non-core responsibility in a very similar position to where it is today.  Moreover, the CSA permits a significant change in structuring of the capacity rights of the SoCalGas system to provide customers with more options, without a dramatic cost shift to any customer class.  TURN claims, however, that this is a bad result and </w:t>
      </w:r>
    </w:p>
    <w:p>
      <w:pPr>
        <w:pStyle w:val="BodyText"/>
        <w:ind w:hanging="0" w:end="0"/>
        <w:rPr/>
      </w:pPr>
      <w:r>
        <w:rPr/>
        <w:t xml:space="preserve">suggests that the Commission should require the parties to relitigate the embedded costs of </w:t>
      </w:r>
      <w:r>
        <w:br w:type="page"/>
      </w:r>
    </w:p>
    <w:p>
      <w:pPr>
        <w:pStyle w:val="BodyText"/>
        <w:ind w:hanging="0" w:end="0"/>
        <w:rPr/>
      </w:pPr>
      <w:r>
        <w:rPr/>
        <w:t>allocation of transmission and storage costs to customers on the basis of competing theoretical methodologies, rather than reaching a settlement in which the parties agree.</w:t>
      </w:r>
      <w:r>
        <w:rPr>
          <w:rStyle w:val="FootnoteCharacters"/>
          <w:rStyle w:val="FootnoteReference"/>
        </w:rPr>
        <w:footnoteReference w:id="134"/>
      </w:r>
      <w:r>
        <w:rPr/>
        <w:t xml:space="preserve">  The CSA will keep cost responsibility approximately where it is today -- without forcing all parties to engage in expensive litigation as TURN would suggest.</w:t>
      </w:r>
    </w:p>
    <w:p>
      <w:pPr>
        <w:pStyle w:val="BodyText"/>
        <w:spacing w:lineRule="auto" w:line="240"/>
        <w:ind w:hanging="720" w:start="720" w:end="0"/>
        <w:rPr>
          <w:b/>
        </w:rPr>
      </w:pPr>
      <w:r>
        <w:rPr>
          <w:b/>
        </w:rPr>
      </w:r>
    </w:p>
    <w:p>
      <w:pPr>
        <w:pStyle w:val="BodyText"/>
        <w:spacing w:lineRule="auto" w:line="240"/>
        <w:ind w:hanging="720" w:start="720" w:end="0"/>
        <w:rPr/>
      </w:pPr>
      <w:r>
        <w:rPr>
          <w:b/>
        </w:rPr>
        <w:t>IV.</w:t>
        <w:tab/>
        <w:t xml:space="preserve">THE ARGUMENTS OF LONG BEACH  ARE NOT WELL TAKEN AND PROVIDE NO BASIS FOR REJECTION OF THE COMPREHENSIVE SETTLEMENT </w:t>
      </w:r>
    </w:p>
    <w:p>
      <w:pPr>
        <w:pStyle w:val="BodyText"/>
        <w:spacing w:lineRule="auto" w:line="240"/>
        <w:ind w:hanging="720" w:start="720" w:end="0"/>
        <w:rPr>
          <w:b/>
        </w:rPr>
      </w:pPr>
      <w:r>
        <w:rPr>
          <w:b/>
        </w:rPr>
      </w:r>
    </w:p>
    <w:p>
      <w:pPr>
        <w:pStyle w:val="BodyText"/>
        <w:ind w:hanging="0" w:end="0"/>
        <w:rPr/>
      </w:pPr>
      <w:r>
        <w:rPr/>
        <w:tab/>
        <w:tab/>
        <w:t>WGSI/Enron maintain that the CSA offers the best compromise “auction-style” means of allocating capacity which could attract wide support.  Long Beach has not proposed any specifics to support its pure capacity auction proposal, and, in any event, Long Beach did not actively pursue its auction proposal until the filing of prepared direct testimony.  When Long Beach's proposal did surface, it was too late to have any effect on the process -- its last minute proposal was too little, too late.</w:t>
      </w:r>
    </w:p>
    <w:p>
      <w:pPr>
        <w:pStyle w:val="BodyText"/>
        <w:ind w:hanging="0" w:end="0"/>
        <w:rPr>
          <w:b/>
        </w:rPr>
      </w:pPr>
      <w:r>
        <w:rPr/>
        <w:tab/>
        <w:tab/>
        <w:t>Although Long Beach takes various shots at the CSA in its brief, its own “auction”  proposal has not been adequately presented in this proceeding.  Thus while Long Beach claims its proposal appears “divinely inspired,” it has not withstood “mortal” scrutiny because none of its details or its cost implications have been revealed to other parties, either in negotiations or in the hearing room.</w:t>
      </w:r>
      <w:r>
        <w:rPr>
          <w:rStyle w:val="FootnoteCharacters"/>
        </w:rPr>
        <w:t xml:space="preserve"> </w:t>
      </w:r>
      <w:r>
        <w:rPr>
          <w:rStyle w:val="FootnoteCharacters"/>
          <w:rStyle w:val="FootnoteReference"/>
        </w:rPr>
        <w:footnoteReference w:id="135"/>
      </w:r>
      <w:r>
        <w:rPr/>
        <w:t xml:space="preserve">  Thus, it cannot be viewed as a meaningful alternative to the CSA.</w:t>
      </w:r>
      <w:r>
        <w:rPr>
          <w:rStyle w:val="FootnoteCharacters"/>
        </w:rPr>
        <w:t xml:space="preserve"> </w:t>
      </w:r>
    </w:p>
    <w:p>
      <w:pPr>
        <w:pStyle w:val="BodyText"/>
        <w:ind w:hanging="0" w:end="0"/>
        <w:rPr>
          <w:b/>
        </w:rPr>
      </w:pPr>
      <w:r>
        <w:rPr>
          <w:b/>
        </w:rPr>
      </w:r>
      <w:r>
        <w:br w:type="page"/>
      </w:r>
    </w:p>
    <w:p>
      <w:pPr>
        <w:pStyle w:val="BodyText"/>
        <w:ind w:hanging="0" w:end="0"/>
        <w:rPr/>
      </w:pPr>
      <w:r>
        <w:rPr>
          <w:b/>
        </w:rPr>
        <w:t>V.</w:t>
        <w:tab/>
      </w:r>
      <w:r>
        <w:rPr>
          <w:b/>
          <w:u w:val="single"/>
        </w:rPr>
        <w:t>CONCLUSION</w:t>
      </w:r>
    </w:p>
    <w:p>
      <w:pPr>
        <w:pStyle w:val="BodyText"/>
        <w:ind w:hanging="0" w:end="0"/>
        <w:rPr/>
      </w:pPr>
      <w:r>
        <w:rPr/>
        <w:tab/>
        <w:tab/>
        <w:t xml:space="preserve">As detailed above and in the WGSI/Enron Opening Brief, the Comprehensive Settlement Agreement is by far the best restructuring  option presented to the Commission and is the only settlement  that makes sense for southern California and for California as a whole.  The IS/PIS does little or nothing to solve long-term problems on  the SoCalGas system and would send all the parties and the Commission back to the drawing board in SoCal’s next BCAP.  </w:t>
      </w:r>
    </w:p>
    <w:p>
      <w:pPr>
        <w:pStyle w:val="BodyText"/>
        <w:rPr/>
      </w:pPr>
      <w:r>
        <w:rPr/>
        <w:t>WGSI/Enron, along with the many other supporters of the CSA urge the Commission to adopt the CSA in its entirety and to reject the IS/PIS.</w:t>
      </w:r>
    </w:p>
    <w:p>
      <w:pPr>
        <w:pStyle w:val="BodyText"/>
        <w:keepNext w:val="true"/>
        <w:rPr/>
      </w:pPr>
      <w:r>
        <w:rPr/>
        <w:t>Respectfully submitted this July 31, 2000 at San Francisco, California.</w:t>
      </w:r>
    </w:p>
    <w:p>
      <w:pPr>
        <w:pStyle w:val="PleadingSignature"/>
        <w:spacing w:before="240" w:after="0"/>
        <w:rPr/>
      </w:pPr>
      <w:r>
        <w:rPr/>
        <w:t>GOODIN, MACBRIDE, SQUERI,</w:t>
        <w:br/>
        <w:t>RITCHIE &amp; DAY, LLP</w:t>
      </w:r>
    </w:p>
    <w:p>
      <w:pPr>
        <w:pStyle w:val="PleadingSignature"/>
        <w:rPr/>
      </w:pPr>
      <w:r>
        <w:rPr/>
        <w:t>Michael B. Day</w:t>
      </w:r>
    </w:p>
    <w:p>
      <w:pPr>
        <w:pStyle w:val="PleadingSignature"/>
        <w:tabs>
          <w:tab w:val="left" w:pos="5126" w:leader="none"/>
          <w:tab w:val="left" w:pos="5184" w:leader="none"/>
          <w:tab w:val="right" w:pos="9360" w:leader="none"/>
        </w:tabs>
        <w:rPr/>
      </w:pPr>
      <w:r>
        <w:rPr/>
        <w:t>505 Sansome Street, Suite 900</w:t>
        <w:br/>
        <w:t>San Francisco, California  94111</w:t>
        <w:br/>
        <w:t>Telephone:</w:t>
        <w:tab/>
        <w:t>(415) 392-7900</w:t>
        <w:br/>
        <w:t>Facsimile:</w:t>
        <w:tab/>
        <w:t>(415) 398-4321</w:t>
      </w:r>
    </w:p>
    <w:p>
      <w:pPr>
        <w:pStyle w:val="PleadingSignature"/>
        <w:tabs>
          <w:tab w:val="left" w:pos="5126" w:leader="none"/>
          <w:tab w:val="left" w:pos="5184" w:leader="none"/>
          <w:tab w:val="right" w:pos="9360" w:leader="none"/>
        </w:tabs>
        <w:rPr/>
      </w:pPr>
      <w:r>
        <w:rPr/>
        <w:t>mday@gmssr.com</w:t>
      </w:r>
    </w:p>
    <w:p>
      <w:pPr>
        <w:pStyle w:val="PleadingSignature"/>
        <w:spacing w:before="720" w:after="0"/>
        <w:rPr/>
      </w:pPr>
      <w:r>
        <w:rPr/>
        <w:t>By</w:t>
      </w:r>
    </w:p>
    <w:p>
      <w:pPr>
        <w:pStyle w:val="PleadingSignature"/>
        <w:pBdr>
          <w:top w:val="single" w:sz="4" w:space="1" w:color="000000"/>
        </w:pBdr>
        <w:tabs>
          <w:tab w:val="left" w:pos="4550" w:leader="none"/>
          <w:tab w:val="left" w:pos="5126" w:leader="none"/>
          <w:tab w:val="right" w:pos="9360" w:leader="none"/>
        </w:tabs>
        <w:ind w:start="4190" w:end="120"/>
        <w:rPr/>
      </w:pPr>
      <w:r>
        <w:rPr/>
        <w:tab/>
        <w:t>Michael B. Day</w:t>
      </w:r>
    </w:p>
    <w:p>
      <w:pPr>
        <w:pStyle w:val="PleadingSignature"/>
        <w:spacing w:before="240" w:after="0"/>
        <w:ind w:end="120"/>
        <w:rPr/>
      </w:pPr>
      <w:r>
        <w:rPr/>
        <w:t xml:space="preserve">Attorneys for Wild Goose Storage Inc., Enron North America, and Enron Energy Services, Inc. </w:t>
      </w:r>
    </w:p>
    <w:p>
      <w:pPr>
        <w:pStyle w:val="Normal"/>
        <w:rPr/>
      </w:pPr>
      <w:r>
        <w:rPr/>
      </w:r>
    </w:p>
    <w:p>
      <w:pPr>
        <w:pStyle w:val="Normal"/>
        <w:rPr/>
      </w:pPr>
      <w:r>
        <w:rPr/>
      </w:r>
    </w:p>
    <w:p>
      <w:pPr>
        <w:pStyle w:val="Normal"/>
        <w:spacing w:lineRule="exact" w:line="200" w:before="240" w:after="0"/>
        <w:rPr/>
      </w:pPr>
      <w:r>
        <w:rPr>
          <w:rStyle w:val="zzmpTrailerItem"/>
        </w:rPr>
        <w:t>2715/016/X15164-2-1</w:t>
      </w:r>
      <w:r>
        <w:rPr/>
        <w:t xml:space="preserve"> </w:t>
      </w:r>
    </w:p>
    <w:p>
      <w:pPr>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432" w:top="1440" w:footer="360" w:bottom="1440"/>
          <w:pgNumType w:start="1" w:fmt="decimal"/>
          <w:formProt w:val="false"/>
          <w:titlePg/>
          <w:textDirection w:val="lrTb"/>
          <w:docGrid w:type="default" w:linePitch="360" w:charSpace="0"/>
        </w:sectPr>
        <w:pStyle w:val="Normal"/>
        <w:rPr/>
      </w:pPr>
      <w:r>
        <w:rPr/>
      </w:r>
    </w:p>
    <w:p>
      <w:pPr>
        <w:pStyle w:val="TOC1"/>
        <w:rPr/>
      </w:pPr>
      <w:bookmarkStart w:id="0" w:name="mpTableOfContents"/>
      <w:bookmarkEnd w:id="0"/>
      <w:r>
        <w:rPr/>
        <w:t>I.</w:t>
        <w:tab/>
        <w:t>INTRODUCTION</w:t>
        <w:tab/>
        <w:t>1</w:t>
      </w:r>
    </w:p>
    <w:p>
      <w:pPr>
        <w:pStyle w:val="TOC1"/>
        <w:rPr/>
      </w:pPr>
      <w:r>
        <w:rPr/>
        <w:t>II.</w:t>
        <w:tab/>
        <w:t>THE ARGUMENTS OF THE SOUTHERN CALIFORNIA GENERATION COALITION ARE UNSUPPORTED BY THE RECORD, BASED UPON MISTAKEN PREMISES, AND DEVOID OF PROBATIVE VALUE.</w:t>
        <w:tab/>
        <w:t>1</w:t>
      </w:r>
    </w:p>
    <w:p>
      <w:pPr>
        <w:pStyle w:val="TOC2"/>
        <w:rPr/>
      </w:pPr>
      <w:r>
        <w:rPr/>
        <w:t>A.</w:t>
        <w:tab/>
        <w:t>TRANSMISSION</w:t>
        <w:tab/>
        <w:t>2</w:t>
      </w:r>
    </w:p>
    <w:p>
      <w:pPr>
        <w:pStyle w:val="TOC3"/>
        <w:rPr/>
      </w:pPr>
      <w:r>
        <w:rPr/>
        <w:t>1.</w:t>
        <w:tab/>
        <w:t>Gas price competition under the CSA and the IS/PIS</w:t>
        <w:tab/>
        <w:t>2</w:t>
      </w:r>
    </w:p>
    <w:p>
      <w:pPr>
        <w:pStyle w:val="TOC3"/>
        <w:rPr/>
      </w:pPr>
      <w:r>
        <w:rPr/>
        <w:t>2.</w:t>
        <w:tab/>
        <w:t>Transmission Costs Will Not Increase Under the CSA</w:t>
        <w:tab/>
        <w:t>3</w:t>
      </w:r>
    </w:p>
    <w:p>
      <w:pPr>
        <w:pStyle w:val="TOC3"/>
        <w:rPr/>
      </w:pPr>
      <w:r>
        <w:rPr/>
        <w:t>3.</w:t>
        <w:tab/>
        <w:t>Transaction Costs Also Will Not Increase Under The CSA</w:t>
        <w:tab/>
        <w:t>4</w:t>
      </w:r>
    </w:p>
    <w:p>
      <w:pPr>
        <w:pStyle w:val="TOC3"/>
        <w:rPr/>
      </w:pPr>
      <w:r>
        <w:rPr/>
        <w:t>4.</w:t>
        <w:tab/>
        <w:t>Is the Window Closed Or Not?</w:t>
        <w:tab/>
        <w:t>5</w:t>
      </w:r>
    </w:p>
    <w:p>
      <w:pPr>
        <w:pStyle w:val="TOC3"/>
        <w:rPr/>
      </w:pPr>
      <w:r>
        <w:rPr/>
        <w:t>5.</w:t>
        <w:tab/>
        <w:t>New Receipt Points and Expanded Receipt Points</w:t>
        <w:tab/>
        <w:t>6</w:t>
      </w:r>
    </w:p>
    <w:p>
      <w:pPr>
        <w:pStyle w:val="TOC3"/>
        <w:rPr/>
      </w:pPr>
      <w:r>
        <w:rPr/>
        <w:t>6.</w:t>
        <w:tab/>
        <w:t>Delay in Unbundling Transmission is Completely Unwarranted</w:t>
        <w:tab/>
        <w:t>7</w:t>
      </w:r>
    </w:p>
    <w:p>
      <w:pPr>
        <w:pStyle w:val="TOC3"/>
        <w:rPr/>
      </w:pPr>
      <w:r>
        <w:rPr/>
        <w:t>7.</w:t>
        <w:tab/>
        <w:t>Allocation of Non-Core Revenue Risk Between Shareholders and Ratepayers</w:t>
        <w:tab/>
        <w:t>7</w:t>
      </w:r>
    </w:p>
    <w:p>
      <w:pPr>
        <w:pStyle w:val="TOC3"/>
        <w:rPr/>
      </w:pPr>
      <w:r>
        <w:rPr/>
        <w:t>8.</w:t>
        <w:tab/>
        <w:t>SCGC’s Bottleneck Argument is Fatally Flawed</w:t>
        <w:tab/>
        <w:t>8</w:t>
      </w:r>
    </w:p>
    <w:p>
      <w:pPr>
        <w:pStyle w:val="TOC3"/>
        <w:rPr/>
      </w:pPr>
      <w:r>
        <w:rPr/>
        <w:t>9.</w:t>
        <w:tab/>
        <w:t>Costs to Electric Generators</w:t>
        <w:tab/>
        <w:t>15</w:t>
      </w:r>
    </w:p>
    <w:p>
      <w:pPr>
        <w:pStyle w:val="TOC2"/>
        <w:rPr/>
      </w:pPr>
      <w:r>
        <w:rPr/>
        <w:t>B.</w:t>
        <w:tab/>
        <w:t>BALANCING</w:t>
        <w:tab/>
        <w:t>15</w:t>
      </w:r>
    </w:p>
    <w:p>
      <w:pPr>
        <w:pStyle w:val="TOC3"/>
        <w:rPr/>
      </w:pPr>
      <w:r>
        <w:rPr/>
        <w:t>1.</w:t>
        <w:tab/>
        <w:t>The CSA Provides Balancing Without Traditional Cross Subsidies</w:t>
        <w:tab/>
        <w:t>15</w:t>
      </w:r>
    </w:p>
    <w:p>
      <w:pPr>
        <w:pStyle w:val="TOC3"/>
        <w:rPr/>
      </w:pPr>
      <w:r>
        <w:rPr/>
        <w:t>2.</w:t>
        <w:tab/>
        <w:t>OFOs and Pooling Issues Are Appropriately Addressed in the CSA</w:t>
        <w:tab/>
        <w:t>16</w:t>
      </w:r>
    </w:p>
    <w:p>
      <w:pPr>
        <w:pStyle w:val="TOC3"/>
        <w:rPr/>
      </w:pPr>
      <w:r>
        <w:rPr/>
        <w:t>3.</w:t>
        <w:tab/>
        <w:t>Imbalance Trading and Trading Procedures</w:t>
        <w:tab/>
        <w:t>17</w:t>
      </w:r>
    </w:p>
    <w:p>
      <w:pPr>
        <w:pStyle w:val="TOC2"/>
        <w:rPr/>
      </w:pPr>
      <w:r>
        <w:rPr/>
        <w:t>C.</w:t>
        <w:tab/>
        <w:t>STORAGE</w:t>
        <w:tab/>
        <w:t>17</w:t>
      </w:r>
    </w:p>
    <w:p>
      <w:pPr>
        <w:pStyle w:val="TOC3"/>
        <w:rPr/>
      </w:pPr>
      <w:r>
        <w:rPr/>
        <w:t>1.</w:t>
        <w:tab/>
        <w:t>The IS/PIS Restricts Storage Rights and the Secondary Market</w:t>
        <w:tab/>
        <w:t>17</w:t>
      </w:r>
    </w:p>
    <w:p>
      <w:pPr>
        <w:pStyle w:val="TOC3"/>
        <w:rPr/>
      </w:pPr>
      <w:r>
        <w:rPr/>
        <w:t>2.</w:t>
        <w:tab/>
        <w:t>The Storage Program for CTAs Under the CSA is More Flexible Than The IS/PIS Program</w:t>
        <w:tab/>
        <w:t>18</w:t>
      </w:r>
    </w:p>
    <w:p>
      <w:pPr>
        <w:pStyle w:val="TOC3"/>
        <w:rPr/>
      </w:pPr>
      <w:r>
        <w:rPr/>
        <w:t>3.</w:t>
        <w:tab/>
        <w:t>The CSA Provides Better Wholesale Customer Storage Options</w:t>
        <w:tab/>
        <w:t>19</w:t>
      </w:r>
    </w:p>
    <w:p>
      <w:pPr>
        <w:pStyle w:val="TOC3"/>
        <w:rPr/>
      </w:pPr>
      <w:r>
        <w:rPr/>
        <w:t>4.</w:t>
        <w:tab/>
        <w:t>Storage Price Caps and Floors</w:t>
        <w:tab/>
        <w:t>19</w:t>
      </w:r>
    </w:p>
    <w:p>
      <w:pPr>
        <w:pStyle w:val="TOC3"/>
        <w:rPr/>
      </w:pPr>
      <w:r>
        <w:rPr/>
        <w:t>5.</w:t>
        <w:tab/>
        <w:t>Ratemaking Treatment for the Montebello Storage Field</w:t>
        <w:tab/>
        <w:t>20</w:t>
      </w:r>
    </w:p>
    <w:p>
      <w:pPr>
        <w:pStyle w:val="TOC3"/>
        <w:rPr/>
      </w:pPr>
      <w:r>
        <w:rPr/>
        <w:t>6.</w:t>
        <w:tab/>
        <w:t>The Quantity of Storage Used for Balancing</w:t>
        <w:tab/>
        <w:t>21</w:t>
      </w:r>
    </w:p>
    <w:p>
      <w:pPr>
        <w:pStyle w:val="TOC2"/>
        <w:rPr/>
      </w:pPr>
      <w:r>
        <w:rPr/>
        <w:t>D.</w:t>
        <w:tab/>
        <w:t>INTERSTATE CAPACITY</w:t>
        <w:tab/>
        <w:t>21</w:t>
      </w:r>
    </w:p>
    <w:p>
      <w:pPr>
        <w:pStyle w:val="TOC3"/>
        <w:rPr/>
      </w:pPr>
      <w:r>
        <w:rPr/>
        <w:t>1.</w:t>
        <w:tab/>
        <w:t>Core Interstate Capacity Unbundling</w:t>
        <w:tab/>
        <w:t>21</w:t>
      </w:r>
    </w:p>
    <w:p>
      <w:pPr>
        <w:pStyle w:val="TOC3"/>
        <w:rPr/>
      </w:pPr>
      <w:r>
        <w:rPr/>
        <w:t>2.</w:t>
        <w:tab/>
        <w:t>Interstate Capacity Rights of the Core</w:t>
        <w:tab/>
        <w:t>22</w:t>
      </w:r>
    </w:p>
    <w:p>
      <w:pPr>
        <w:pStyle w:val="Normal"/>
        <w:rPr/>
      </w:pPr>
      <w:r>
        <w:rPr/>
      </w:r>
    </w:p>
    <w:p>
      <w:pPr>
        <w:pStyle w:val="Normal"/>
        <w:rPr/>
      </w:pPr>
      <w:r>
        <w:rPr/>
      </w:r>
    </w:p>
    <w:p>
      <w:pPr>
        <w:pStyle w:val="TOC2"/>
        <w:rPr/>
      </w:pPr>
      <w:r>
        <w:rPr/>
        <w:t>E.</w:t>
        <w:tab/>
        <w:t>IMPLEMENTATION COSTS AND SCHEDULE</w:t>
        <w:tab/>
        <w:t>23</w:t>
      </w:r>
    </w:p>
    <w:p>
      <w:pPr>
        <w:pStyle w:val="TOC3"/>
        <w:rPr/>
      </w:pPr>
      <w:r>
        <w:rPr/>
        <w:t>1.</w:t>
        <w:tab/>
        <w:t>Implementation Costs Are No Greater Under the CSA</w:t>
        <w:tab/>
        <w:t>23</w:t>
      </w:r>
    </w:p>
    <w:p>
      <w:pPr>
        <w:pStyle w:val="TOC3"/>
        <w:rPr/>
      </w:pPr>
      <w:r>
        <w:rPr/>
        <w:t>2.</w:t>
        <w:tab/>
        <w:t>Procedural Requirements for Later Proceedings</w:t>
        <w:tab/>
        <w:t>23</w:t>
      </w:r>
    </w:p>
    <w:p>
      <w:pPr>
        <w:pStyle w:val="TOC2"/>
        <w:rPr/>
      </w:pPr>
      <w:r>
        <w:rPr/>
        <w:t xml:space="preserve">F. </w:t>
        <w:tab/>
        <w:t>SUMMARY</w:t>
        <w:tab/>
        <w:t>24</w:t>
      </w:r>
    </w:p>
    <w:p>
      <w:pPr>
        <w:pStyle w:val="TOC1"/>
        <w:rPr/>
      </w:pPr>
      <w:r>
        <w:rPr/>
        <w:t>III.</w:t>
        <w:tab/>
        <w:t>THE ARGUMENTS OF TURN ARE INADEQUATE TO SUPPORT ADOPTION OF THE INTERIM SETTLEMENT/POST-INTERIM SETTLEMENT.</w:t>
        <w:tab/>
        <w:t>26</w:t>
      </w:r>
    </w:p>
    <w:p>
      <w:pPr>
        <w:pStyle w:val="TOC2"/>
        <w:rPr/>
      </w:pPr>
      <w:r>
        <w:rPr/>
        <w:t>A.</w:t>
        <w:tab/>
        <w:t>Core Interstate Capacity Unbundling and Other Benefits for Core Customers</w:t>
        <w:tab/>
        <w:t>31</w:t>
      </w:r>
    </w:p>
    <w:p>
      <w:pPr>
        <w:pStyle w:val="TOC2"/>
        <w:rPr/>
      </w:pPr>
      <w:r>
        <w:rPr/>
        <w:t>B.</w:t>
        <w:tab/>
        <w:t>Intrastate Transmission Unbundling</w:t>
        <w:tab/>
        <w:t>33</w:t>
      </w:r>
    </w:p>
    <w:p>
      <w:pPr>
        <w:pStyle w:val="TOC2"/>
        <w:rPr/>
      </w:pPr>
      <w:r>
        <w:rPr/>
        <w:t>C.</w:t>
        <w:tab/>
        <w:t>Storage Unbundling</w:t>
        <w:tab/>
        <w:t>35</w:t>
      </w:r>
    </w:p>
    <w:p>
      <w:pPr>
        <w:pStyle w:val="TOC2"/>
        <w:rPr/>
      </w:pPr>
      <w:r>
        <w:rPr/>
        <w:t>D.</w:t>
        <w:tab/>
        <w:t>Unbundled Balancing</w:t>
        <w:tab/>
        <w:t>36</w:t>
      </w:r>
    </w:p>
    <w:p>
      <w:pPr>
        <w:pStyle w:val="TOC2"/>
        <w:rPr/>
      </w:pPr>
      <w:r>
        <w:rPr/>
        <w:t>E.</w:t>
        <w:tab/>
        <w:t>Embedded Costs Methodology For Pricing Capacity vs. Long Run Marginal Costs Methodology</w:t>
        <w:tab/>
        <w:t>38</w:t>
      </w:r>
    </w:p>
    <w:p>
      <w:pPr>
        <w:pStyle w:val="TOC1"/>
        <w:rPr/>
      </w:pPr>
      <w:r>
        <w:rPr/>
        <w:t>IV.</w:t>
        <w:tab/>
        <w:t>THE ARGUMENTS OF LONG BEACH  ARE NOT WELL TAKEN AND PROVIDE NO BASIS FOR REJECTION OF THE COMPREHENSIVE SETTLEMENT</w:t>
        <w:tab/>
        <w:t>39</w:t>
      </w:r>
    </w:p>
    <w:p>
      <w:pPr>
        <w:sectPr>
          <w:headerReference w:type="default" r:id="rId11"/>
          <w:headerReference w:type="first" r:id="rId12"/>
          <w:footerReference w:type="default" r:id="rId13"/>
          <w:footerReference w:type="first" r:id="rId14"/>
          <w:footnotePr>
            <w:numFmt w:val="decimal"/>
          </w:footnotePr>
          <w:type w:val="nextPage"/>
          <w:pgSz w:w="12240" w:h="15840"/>
          <w:pgMar w:left="1440" w:right="1440" w:gutter="0" w:header="1080" w:top="1440" w:footer="720" w:bottom="1440"/>
          <w:pgNumType w:start="1" w:fmt="lowerRoman"/>
          <w:formProt w:val="false"/>
          <w:titlePg/>
          <w:textDirection w:val="lrTb"/>
          <w:docGrid w:type="default" w:linePitch="360" w:charSpace="0"/>
        </w:sectPr>
        <w:pStyle w:val="TOC1"/>
        <w:rPr/>
      </w:pPr>
      <w:r>
        <w:rPr/>
        <w:t>V.</w:t>
        <w:tab/>
        <w:t>CONCLUSION</w:t>
        <w:tab/>
        <w:t>40</w:t>
      </w:r>
    </w:p>
    <w:p>
      <w:pPr>
        <w:pStyle w:val="TOAHeading"/>
        <w:tabs>
          <w:tab w:val="clear" w:pos="720"/>
          <w:tab w:val="right" w:pos="9350" w:leader="underscore"/>
        </w:tabs>
        <w:rPr>
          <w:b w:val="false"/>
          <w:sz w:val="20"/>
          <w:lang w:val="en-CA"/>
        </w:rPr>
      </w:pPr>
      <w:bookmarkStart w:id="1" w:name="mpTableOfContents"/>
      <w:bookmarkStart w:id="2" w:name="mpTableOfAuthorities"/>
      <w:bookmarkEnd w:id="1"/>
      <w:bookmarkEnd w:id="2"/>
      <w:r>
        <w:rPr>
          <w:lang w:val="en-CA"/>
        </w:rPr>
        <w:t>PUC Decisions</w:t>
      </w:r>
    </w:p>
    <w:p>
      <w:pPr>
        <w:pStyle w:val="TableofAuthorities"/>
        <w:tabs>
          <w:tab w:val="right" w:pos="9280" w:leader="dot"/>
          <w:tab w:val="right" w:pos="9350" w:leader="underscore"/>
        </w:tabs>
        <w:rPr>
          <w:lang w:val="en-CA"/>
        </w:rPr>
      </w:pPr>
      <w:r>
        <w:rPr>
          <w:lang w:val="en-CA"/>
        </w:rPr>
        <w:t>D.94-07-064.</w:t>
        <w:tab/>
        <w:t>8</w:t>
      </w:r>
    </w:p>
    <w:p>
      <w:pPr>
        <w:pStyle w:val="TableofAuthorities"/>
        <w:tabs>
          <w:tab w:val="right" w:pos="9280" w:leader="dot"/>
          <w:tab w:val="right" w:pos="9350" w:leader="underscore"/>
        </w:tabs>
        <w:rPr>
          <w:lang w:val="en-CA"/>
        </w:rPr>
      </w:pPr>
      <w:r>
        <w:rPr>
          <w:lang w:val="en-CA"/>
        </w:rPr>
        <w:t>D.97-08-055.</w:t>
        <w:tab/>
        <w:t>8</w:t>
      </w:r>
    </w:p>
    <w:p>
      <w:pPr>
        <w:pStyle w:val="TableofAuthorities"/>
        <w:tabs>
          <w:tab w:val="right" w:pos="9280" w:leader="dot"/>
          <w:tab w:val="right" w:pos="9350" w:leader="underscore"/>
        </w:tabs>
        <w:rPr>
          <w:lang w:val="en-CA"/>
        </w:rPr>
      </w:pPr>
      <w:r>
        <w:rPr>
          <w:lang w:val="en-CA"/>
        </w:rPr>
        <w:t>D.98-03-073.</w:t>
        <w:tab/>
        <w:t>8</w:t>
      </w:r>
    </w:p>
    <w:p>
      <w:pPr>
        <w:pStyle w:val="TableofAuthorities"/>
        <w:tabs>
          <w:tab w:val="right" w:pos="9280" w:leader="dot"/>
          <w:tab w:val="right" w:pos="9350" w:leader="underscore"/>
        </w:tabs>
        <w:rPr>
          <w:lang w:val="en-CA"/>
        </w:rPr>
      </w:pPr>
      <w:r>
        <w:rPr>
          <w:lang w:val="en-CA"/>
        </w:rPr>
        <w:t>D.99-07-015 .</w:t>
        <w:tab/>
        <w:t>35</w:t>
      </w:r>
    </w:p>
    <w:p>
      <w:pPr>
        <w:sectPr>
          <w:headerReference w:type="default" r:id="rId15"/>
          <w:headerReference w:type="first" r:id="rId16"/>
          <w:footerReference w:type="default" r:id="rId17"/>
          <w:footerReference w:type="first" r:id="rId18"/>
          <w:footnotePr>
            <w:numFmt w:val="decimal"/>
          </w:footnotePr>
          <w:type w:val="nextPage"/>
          <w:pgSz w:w="12240" w:h="15840"/>
          <w:pgMar w:left="1440" w:right="1440" w:gutter="0" w:header="1080" w:top="1440" w:footer="720" w:bottom="1440"/>
          <w:pgNumType w:fmt="lowerRoman"/>
          <w:formProt w:val="false"/>
          <w:titlePg/>
          <w:textDirection w:val="lrTb"/>
          <w:docGrid w:type="default" w:linePitch="360" w:charSpace="0"/>
        </w:sectPr>
        <w:pStyle w:val="TableofAuthorities"/>
        <w:tabs>
          <w:tab w:val="right" w:pos="9280" w:leader="dot"/>
          <w:tab w:val="right" w:pos="9350" w:leader="underscore"/>
        </w:tabs>
        <w:rPr>
          <w:lang w:val="en-CA"/>
        </w:rPr>
      </w:pPr>
      <w:r>
        <w:rPr>
          <w:lang w:val="en-CA"/>
        </w:rPr>
        <w:t>D.99-09-068, 1999 Cal. PUC LEXIS 638 .</w:t>
        <w:tab/>
        <w:t>21</w:t>
      </w:r>
    </w:p>
    <w:p>
      <w:pPr>
        <w:pStyle w:val="BodyText"/>
        <w:rPr/>
      </w:pPr>
      <w:bookmarkStart w:id="8" w:name="mpTableOfAuthorities"/>
      <w:bookmarkEnd w:id="8"/>
      <w:r>
        <w:rPr/>
        <w:t>WARNING:  This section retains the original formatting, including headers and footers, of the main document.  If you delete the section break above this message (which is visible ONLY in Normal View), any special formatting, including headers and footers for the Table of Contents/Authorities section will be lost.</w:t>
      </w:r>
    </w:p>
    <w:p>
      <w:pPr>
        <w:pStyle w:val="BodyText"/>
        <w:rPr/>
      </w:pPr>
      <w:r>
        <w:rPr/>
        <w:t>If you delete the section break above the Table of Contents/Authorities, you will overwrite the headers and footers of the main document with Table of Contents/Authorities headers and footers.</w:t>
      </w:r>
    </w:p>
    <w:p>
      <w:pPr>
        <w:pStyle w:val="BodyText"/>
        <w:rPr/>
      </w:pPr>
      <w:r>
        <w:rPr/>
        <w:t>To delete the Table of Contents/Authorities, begin your selection at the section break above the TOC/TOA section and continue through the end of this message.</w:t>
      </w:r>
    </w:p>
    <w:sectPr>
      <w:headerReference w:type="default" r:id="rId19"/>
      <w:headerReference w:type="first" r:id="rId20"/>
      <w:footerReference w:type="default" r:id="rId21"/>
      <w:footerReference w:type="first" r:id="rId22"/>
      <w:footnotePr>
        <w:numFmt w:val="decimal"/>
      </w:footnotePr>
      <w:type w:val="nextPage"/>
      <w:pgSz w:w="12240" w:h="15840"/>
      <w:pgMar w:left="1440" w:right="1440" w:gutter="0" w:header="432" w:top="1440" w:footer="36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00" w:type="dxa"/>
      <w:jc w:val="center"/>
      <w:tblInd w:w="0" w:type="dxa"/>
      <w:tblLayout w:type="fixed"/>
      <w:tblCellMar>
        <w:top w:w="0" w:type="dxa"/>
        <w:start w:w="108" w:type="dxa"/>
        <w:bottom w:w="0" w:type="dxa"/>
        <w:end w:w="108" w:type="dxa"/>
      </w:tblCellMar>
    </w:tblPr>
    <w:tblGrid>
      <w:gridCol w:w="4146"/>
      <w:gridCol w:w="1008"/>
      <w:gridCol w:w="4146"/>
    </w:tblGrid>
    <w:tr>
      <w:trPr/>
      <w:tc>
        <w:tcPr>
          <w:tcW w:w="4146" w:type="dxa"/>
          <w:tcBorders/>
        </w:tcPr>
        <w:p>
          <w:pPr>
            <w:pStyle w:val="Footer"/>
            <w:snapToGrid w:val="false"/>
            <w:rPr/>
          </w:pPr>
          <w:r>
            <w:rPr/>
          </w:r>
        </w:p>
      </w:tc>
      <w:tc>
        <w:tcPr>
          <w:tcW w:w="1008" w:type="dxa"/>
          <w:tcBorders/>
        </w:tcPr>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w:t>
          </w:r>
        </w:p>
      </w:tc>
      <w:tc>
        <w:tcPr>
          <w:tcW w:w="4146" w:type="dxa"/>
          <w:tcBorders/>
        </w:tcPr>
        <w:p>
          <w:pPr>
            <w:pStyle w:val="Footer"/>
            <w:snapToGrid w:val="false"/>
            <w:rPr>
              <w:rStyle w:val="PageNumber"/>
            </w:rPr>
          </w:pPr>
          <w:r>
            <w:rPr/>
          </w:r>
        </w:p>
      </w:tc>
    </w:tr>
  </w:tbl>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00" w:type="dxa"/>
      <w:jc w:val="center"/>
      <w:tblInd w:w="0" w:type="dxa"/>
      <w:tblLayout w:type="fixed"/>
      <w:tblCellMar>
        <w:top w:w="0" w:type="dxa"/>
        <w:start w:w="108" w:type="dxa"/>
        <w:bottom w:w="0" w:type="dxa"/>
        <w:end w:w="108" w:type="dxa"/>
      </w:tblCellMar>
    </w:tblPr>
    <w:tblGrid>
      <w:gridCol w:w="4146"/>
      <w:gridCol w:w="1008"/>
      <w:gridCol w:w="4146"/>
    </w:tblGrid>
    <w:tr>
      <w:trPr/>
      <w:tc>
        <w:tcPr>
          <w:tcW w:w="4146" w:type="dxa"/>
          <w:tcBorders/>
        </w:tcPr>
        <w:p>
          <w:pPr>
            <w:pStyle w:val="Footer"/>
            <w:snapToGrid w:val="false"/>
            <w:rPr/>
          </w:pPr>
          <w:r>
            <w:rPr/>
          </w:r>
        </w:p>
      </w:tc>
      <w:tc>
        <w:tcPr>
          <w:tcW w:w="1008" w:type="dxa"/>
          <w:tcBorders/>
        </w:tcPr>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c>
      <w:tc>
        <w:tcPr>
          <w:tcW w:w="4146" w:type="dxa"/>
          <w:tcBorders/>
        </w:tcPr>
        <w:p>
          <w:pPr>
            <w:pStyle w:val="Footer"/>
            <w:snapToGrid w:val="false"/>
            <w:rPr>
              <w:rStyle w:val="PageNumber"/>
            </w:rPr>
          </w:pPr>
          <w:r>
            <w:rPr/>
          </w:r>
        </w:p>
      </w:tc>
    </w:tr>
  </w:tbl>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130"/>
      <w:gridCol w:w="1080"/>
      <w:gridCol w:w="4130"/>
    </w:tblGrid>
    <w:tr>
      <w:trPr/>
      <w:tc>
        <w:tcPr>
          <w:tcW w:w="4130" w:type="dxa"/>
          <w:tcBorders/>
        </w:tcPr>
        <w:p>
          <w:pPr>
            <w:pStyle w:val="Footer"/>
            <w:snapToGrid w:val="false"/>
            <w:rPr/>
          </w:pPr>
          <w:r>
            <w:rPr/>
          </w:r>
        </w:p>
      </w:tc>
      <w:tc>
        <w:tcPr>
          <w:tcW w:w="1080" w:type="dxa"/>
          <w:tcBorders/>
        </w:tcPr>
        <w:p>
          <w:pPr>
            <w:pStyle w:val="Footer"/>
            <w:jc w:val="center"/>
            <w:rPr/>
          </w:pPr>
          <w:r>
            <w:rPr/>
            <w:t>-</w:t>
          </w:r>
          <w:r>
            <w:rPr>
              <w:rStyle w:val="PageNumber"/>
            </w:rPr>
            <w:fldChar w:fldCharType="begin"/>
          </w:r>
          <w:r>
            <w:rPr>
              <w:rStyle w:val="PageNumber"/>
            </w:rPr>
            <w:instrText xml:space="preserve"> PAGE \* roman </w:instrText>
          </w:r>
          <w:r>
            <w:rPr>
              <w:rStyle w:val="PageNumber"/>
            </w:rPr>
            <w:fldChar w:fldCharType="separate"/>
          </w:r>
          <w:r>
            <w:rPr>
              <w:rStyle w:val="PageNumber"/>
            </w:rPr>
            <w:t>iii</w:t>
          </w:r>
          <w:r>
            <w:rPr>
              <w:rStyle w:val="PageNumber"/>
            </w:rPr>
            <w:fldChar w:fldCharType="end"/>
          </w:r>
          <w:r>
            <w:rPr>
              <w:rStyle w:val="PageNumber"/>
            </w:rPr>
            <w:t>-</w:t>
          </w:r>
        </w:p>
      </w:tc>
      <w:tc>
        <w:tcPr>
          <w:tcW w:w="4130" w:type="dxa"/>
          <w:tcBorders/>
        </w:tcPr>
        <w:p>
          <w:pPr>
            <w:pStyle w:val="Footer"/>
            <w:snapToGrid w:val="false"/>
            <w:rPr/>
          </w:pPr>
          <w:r>
            <w:rPr/>
          </w:r>
        </w:p>
      </w:tc>
    </w:tr>
  </w:tbl>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130"/>
      <w:gridCol w:w="1080"/>
      <w:gridCol w:w="4130"/>
    </w:tblGrid>
    <w:tr>
      <w:trPr/>
      <w:tc>
        <w:tcPr>
          <w:tcW w:w="4130" w:type="dxa"/>
          <w:tcBorders/>
        </w:tcPr>
        <w:p>
          <w:pPr>
            <w:pStyle w:val="Footer"/>
            <w:snapToGrid w:val="false"/>
            <w:rPr/>
          </w:pPr>
          <w:r>
            <w:rPr/>
          </w:r>
          <w:bookmarkStart w:id="6" w:name="zzmpTOCFooter"/>
          <w:bookmarkStart w:id="7" w:name="zzmpTOCFooter"/>
          <w:bookmarkEnd w:id="7"/>
        </w:p>
      </w:tc>
      <w:tc>
        <w:tcPr>
          <w:tcW w:w="1080" w:type="dxa"/>
          <w:tcBorders/>
        </w:tcPr>
        <w:p>
          <w:pPr>
            <w:pStyle w:val="Footer"/>
            <w:jc w:val="center"/>
            <w:rPr/>
          </w:pPr>
          <w:r>
            <w:rPr/>
            <w:t>-</w:t>
          </w:r>
          <w:r>
            <w:rPr>
              <w:rStyle w:val="PageNumber"/>
            </w:rPr>
            <w:fldChar w:fldCharType="begin"/>
          </w:r>
          <w:r>
            <w:rPr>
              <w:rStyle w:val="PageNumber"/>
            </w:rPr>
            <w:instrText xml:space="preserve"> PAGE \* roman </w:instrText>
          </w:r>
          <w:r>
            <w:rPr>
              <w:rStyle w:val="PageNumber"/>
            </w:rPr>
            <w:fldChar w:fldCharType="separate"/>
          </w:r>
          <w:r>
            <w:rPr>
              <w:rStyle w:val="PageNumber"/>
            </w:rPr>
          </w:r>
          <w:r>
            <w:rPr>
              <w:rStyle w:val="PageNumber"/>
            </w:rPr>
            <w:fldChar w:fldCharType="end"/>
          </w:r>
          <w:r>
            <w:rPr>
              <w:rStyle w:val="PageNumber"/>
            </w:rPr>
            <w:t>-</w:t>
          </w:r>
        </w:p>
      </w:tc>
      <w:tc>
        <w:tcPr>
          <w:tcW w:w="4130" w:type="dxa"/>
          <w:tcBorders/>
        </w:tcPr>
        <w:p>
          <w:pPr>
            <w:pStyle w:val="Footer"/>
            <w:snapToGrid w:val="false"/>
            <w:rPr/>
          </w:pPr>
          <w:r>
            <w:rPr/>
          </w:r>
        </w:p>
      </w:tc>
    </w:tr>
  </w:tbl>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SCGC Opening Brief, pp. 3-5.</w:t>
      </w:r>
    </w:p>
  </w:footnote>
  <w:footnote w:id="3">
    <w:p>
      <w:pPr>
        <w:pStyle w:val="FootnoteText"/>
        <w:rPr/>
      </w:pPr>
      <w:r>
        <w:rPr>
          <w:rStyle w:val="FootnoteCharacters"/>
        </w:rPr>
        <w:footnoteRef/>
      </w:r>
      <w:r>
        <w:rPr/>
        <w:t xml:space="preserve"> </w:t>
      </w:r>
      <w:r>
        <w:rPr>
          <w:u w:val="single"/>
        </w:rPr>
        <w:t>Id</w:t>
      </w:r>
      <w:r>
        <w:rPr/>
        <w:t>., pp. 5-13.</w:t>
      </w:r>
    </w:p>
  </w:footnote>
  <w:footnote w:id="4">
    <w:p>
      <w:pPr>
        <w:pStyle w:val="FootnoteText"/>
        <w:rPr/>
      </w:pPr>
      <w:r>
        <w:rPr>
          <w:rStyle w:val="FootnoteCharacters"/>
        </w:rPr>
        <w:footnoteRef/>
      </w:r>
      <w:r>
        <w:rPr/>
        <w:t xml:space="preserve"> </w:t>
      </w:r>
      <w:r>
        <w:rPr/>
        <w:t>For ease of reference, the response to SCGC is organized using the broad topic headings from WGSI/Enron’s opening brief.  All of the major listed benefits in the SCGC, however, are addressed.</w:t>
      </w:r>
    </w:p>
  </w:footnote>
  <w:footnote w:id="5">
    <w:p>
      <w:pPr>
        <w:pStyle w:val="FootnoteText"/>
        <w:rPr/>
      </w:pPr>
      <w:r>
        <w:rPr>
          <w:rStyle w:val="FootnoteCharacters"/>
        </w:rPr>
        <w:footnoteRef/>
      </w:r>
      <w:r>
        <w:rPr/>
        <w:t xml:space="preserve"> </w:t>
      </w:r>
      <w:r>
        <w:rPr/>
        <w:t>SCGC Opening Brief, pp. 5, 20-25.</w:t>
      </w:r>
    </w:p>
  </w:footnote>
  <w:footnote w:id="6">
    <w:p>
      <w:pPr>
        <w:pStyle w:val="FootnoteText"/>
        <w:rPr/>
      </w:pPr>
      <w:r>
        <w:rPr>
          <w:rStyle w:val="FootnoteCharacters"/>
        </w:rPr>
        <w:footnoteRef/>
      </w:r>
      <w:r>
        <w:rPr/>
        <w:t xml:space="preserve"> </w:t>
      </w:r>
      <w:r>
        <w:rPr/>
        <w:t>CSA, Exh. 1, § II.1.1.</w:t>
      </w:r>
    </w:p>
  </w:footnote>
  <w:footnote w:id="7">
    <w:p>
      <w:pPr>
        <w:pStyle w:val="FootnoteText"/>
        <w:rPr/>
      </w:pPr>
      <w:r>
        <w:rPr>
          <w:rStyle w:val="FootnoteCharacters"/>
        </w:rPr>
        <w:footnoteRef/>
      </w:r>
      <w:r>
        <w:rPr/>
        <w:t xml:space="preserve"> </w:t>
      </w:r>
      <w:r>
        <w:rPr/>
        <w:t>CSA, Exh. 1, § II.1.2.</w:t>
      </w:r>
    </w:p>
  </w:footnote>
  <w:footnote w:id="8">
    <w:p>
      <w:pPr>
        <w:pStyle w:val="FootnoteText"/>
        <w:rPr/>
      </w:pPr>
      <w:r>
        <w:rPr>
          <w:rStyle w:val="FootnoteCharacters"/>
        </w:rPr>
        <w:footnoteRef/>
      </w:r>
      <w:r>
        <w:rPr/>
        <w:t xml:space="preserve"> </w:t>
      </w:r>
      <w:r>
        <w:rPr>
          <w:u w:val="single"/>
        </w:rPr>
        <w:t>Id</w:t>
      </w:r>
      <w:r>
        <w:rPr/>
        <w:t>., pp. 5, 44-46.</w:t>
      </w:r>
    </w:p>
  </w:footnote>
  <w:footnote w:id="9">
    <w:p>
      <w:pPr>
        <w:pStyle w:val="FootnoteText"/>
        <w:rPr/>
      </w:pPr>
      <w:r>
        <w:rPr>
          <w:rStyle w:val="FootnoteCharacters"/>
        </w:rPr>
        <w:footnoteRef/>
      </w:r>
      <w:r>
        <w:rPr/>
        <w:t xml:space="preserve"> </w:t>
      </w:r>
      <w:r>
        <w:rPr/>
        <w:t>WGSI/Enron Opening Brief, pp. 3-4.  IEG Opening Brief, p. ix.</w:t>
      </w:r>
    </w:p>
  </w:footnote>
  <w:footnote w:id="10">
    <w:p>
      <w:pPr>
        <w:pStyle w:val="FootnoteText"/>
        <w:rPr/>
      </w:pPr>
      <w:r>
        <w:rPr>
          <w:rStyle w:val="FootnoteCharacters"/>
        </w:rPr>
        <w:footnoteRef/>
      </w:r>
      <w:r>
        <w:rPr/>
        <w:t xml:space="preserve"> </w:t>
      </w:r>
      <w:r>
        <w:rPr/>
        <w:t>Beach, Indicated Electric Generators, Ex. 18, p. 8, lines 18-19.</w:t>
      </w:r>
    </w:p>
  </w:footnote>
  <w:footnote w:id="11">
    <w:p>
      <w:pPr>
        <w:pStyle w:val="FootnoteText"/>
        <w:rPr/>
      </w:pPr>
      <w:r>
        <w:rPr>
          <w:rStyle w:val="FootnoteCharacters"/>
        </w:rPr>
        <w:footnoteRef/>
      </w:r>
      <w:r>
        <w:rPr/>
        <w:t xml:space="preserve"> </w:t>
      </w:r>
      <w:r>
        <w:rPr/>
        <w:t>Amirault, WGSI, Tr. Vol. 4, pp. 426-429; Vol. 5, pp. 576-577.</w:t>
      </w:r>
    </w:p>
  </w:footnote>
  <w:footnote w:id="12">
    <w:p>
      <w:pPr>
        <w:pStyle w:val="FootnoteText"/>
        <w:rPr/>
      </w:pPr>
      <w:r>
        <w:rPr>
          <w:rStyle w:val="FootnoteCharacters"/>
        </w:rPr>
        <w:footnoteRef/>
      </w:r>
      <w:r>
        <w:rPr/>
        <w:t xml:space="preserve"> </w:t>
      </w:r>
      <w:r>
        <w:rPr/>
        <w:t>SCGC Opening Brief, p. 5.</w:t>
      </w:r>
    </w:p>
  </w:footnote>
  <w:footnote w:id="13">
    <w:p>
      <w:pPr>
        <w:pStyle w:val="FootnoteText"/>
        <w:rPr/>
      </w:pPr>
      <w:r>
        <w:rPr>
          <w:rStyle w:val="FootnoteCharacters"/>
        </w:rPr>
        <w:footnoteRef/>
      </w:r>
      <w:r>
        <w:rPr/>
        <w:t xml:space="preserve"> </w:t>
      </w:r>
      <w:r>
        <w:rPr/>
        <w:t>Yap, SCGC, Tr. Vol. 2, p. 210, line 11 - p. 213, line 6.</w:t>
      </w:r>
    </w:p>
  </w:footnote>
  <w:footnote w:id="14">
    <w:p>
      <w:pPr>
        <w:pStyle w:val="FootnoteText"/>
        <w:rPr/>
      </w:pPr>
      <w:r>
        <w:rPr>
          <w:rStyle w:val="FootnoteCharacters"/>
        </w:rPr>
        <w:footnoteRef/>
      </w:r>
      <w:r>
        <w:rPr/>
        <w:t xml:space="preserve"> </w:t>
      </w:r>
      <w:r>
        <w:rPr/>
        <w:t>See www.williamsenergy.com/Energy/mtf/frameset/body_mtf.htm; and  www.hipg.com/NrgServ/PageRend.asp?PageID=179.</w:t>
      </w:r>
    </w:p>
  </w:footnote>
  <w:footnote w:id="15">
    <w:p>
      <w:pPr>
        <w:pStyle w:val="FootnoteText"/>
        <w:rPr/>
      </w:pPr>
      <w:r>
        <w:rPr>
          <w:rStyle w:val="FootnoteCharacters"/>
        </w:rPr>
        <w:footnoteRef/>
      </w:r>
      <w:r>
        <w:rPr/>
        <w:t xml:space="preserve"> </w:t>
      </w:r>
      <w:r>
        <w:rPr/>
        <w:t>Florio, TURN, Tr. Vol. 2, p. 140, lines 17-25.</w:t>
      </w:r>
    </w:p>
  </w:footnote>
  <w:footnote w:id="16">
    <w:p>
      <w:pPr>
        <w:pStyle w:val="FootnoteText"/>
        <w:rPr/>
      </w:pPr>
      <w:r>
        <w:rPr>
          <w:rStyle w:val="FootnoteCharacters"/>
        </w:rPr>
        <w:footnoteRef/>
      </w:r>
      <w:r>
        <w:rPr/>
        <w:t xml:space="preserve"> </w:t>
      </w:r>
      <w:r>
        <w:rPr/>
        <w:t>Yap, SCGC, Tr. Vol. 2, p. 210, line 11 - p. 213, line 6.</w:t>
      </w:r>
    </w:p>
  </w:footnote>
  <w:footnote w:id="17">
    <w:p>
      <w:pPr>
        <w:pStyle w:val="FootnoteText"/>
        <w:rPr/>
      </w:pPr>
      <w:r>
        <w:rPr>
          <w:rStyle w:val="FootnoteCharacters"/>
        </w:rPr>
        <w:footnoteRef/>
      </w:r>
      <w:r>
        <w:rPr/>
        <w:t xml:space="preserve"> </w:t>
      </w:r>
      <w:r>
        <w:rPr/>
        <w:t xml:space="preserve">Yap, SCGC, Tr. Vol. 2, p. 147, lines 8-10.  </w:t>
      </w:r>
      <w:r>
        <w:rPr>
          <w:u w:val="single"/>
        </w:rPr>
        <w:t>See</w:t>
      </w:r>
      <w:r>
        <w:rPr/>
        <w:t xml:space="preserve"> also Ex. 25.</w:t>
      </w:r>
    </w:p>
  </w:footnote>
  <w:footnote w:id="18">
    <w:p>
      <w:pPr>
        <w:pStyle w:val="FootnoteText"/>
        <w:rPr/>
      </w:pPr>
      <w:r>
        <w:rPr>
          <w:rStyle w:val="FootnoteCharacters"/>
        </w:rPr>
        <w:footnoteRef/>
      </w:r>
      <w:r>
        <w:rPr/>
        <w:t xml:space="preserve"> </w:t>
      </w:r>
      <w:r>
        <w:rPr>
          <w:u w:val="single"/>
        </w:rPr>
        <w:t>Id</w:t>
      </w:r>
      <w:r>
        <w:rPr/>
        <w:t>. p.171, line 26 - p. 172, line 1.</w:t>
      </w:r>
    </w:p>
  </w:footnote>
  <w:footnote w:id="19">
    <w:p>
      <w:pPr>
        <w:pStyle w:val="FootnoteText"/>
        <w:rPr/>
      </w:pPr>
      <w:r>
        <w:rPr>
          <w:rStyle w:val="FootnoteCharacters"/>
        </w:rPr>
        <w:footnoteRef/>
      </w:r>
      <w:r>
        <w:rPr/>
        <w:t xml:space="preserve"> </w:t>
      </w:r>
      <w:r>
        <w:rPr/>
        <w:t>SCGC Opening Brief, p. 6.</w:t>
      </w:r>
    </w:p>
  </w:footnote>
  <w:footnote w:id="20">
    <w:p>
      <w:pPr>
        <w:pStyle w:val="FootnoteText"/>
        <w:rPr/>
      </w:pPr>
      <w:r>
        <w:rPr>
          <w:rStyle w:val="FootnoteCharacters"/>
        </w:rPr>
        <w:footnoteRef/>
      </w:r>
      <w:r>
        <w:rPr/>
        <w:t xml:space="preserve"> </w:t>
      </w:r>
      <w:r>
        <w:rPr/>
        <w:t>Lorenz, SoCalGas, Tr. Vol. 4, p. 438, line 18 - p. 439, line 3.</w:t>
      </w:r>
    </w:p>
  </w:footnote>
  <w:footnote w:id="21">
    <w:p>
      <w:pPr>
        <w:pStyle w:val="FootnoteText"/>
        <w:rPr/>
      </w:pPr>
      <w:r>
        <w:rPr>
          <w:rStyle w:val="FootnoteCharacters"/>
        </w:rPr>
        <w:footnoteRef/>
      </w:r>
      <w:r>
        <w:rPr/>
        <w:t xml:space="preserve"> </w:t>
      </w:r>
      <w:r>
        <w:rPr/>
        <w:t>Lorenz, SoCalGas, Tr. Vol. 7, p. 888, lines 12-27.</w:t>
      </w:r>
    </w:p>
  </w:footnote>
  <w:footnote w:id="22">
    <w:p>
      <w:pPr>
        <w:pStyle w:val="FootnoteText"/>
        <w:rPr/>
      </w:pPr>
      <w:r>
        <w:rPr>
          <w:rStyle w:val="FootnoteCharacters"/>
        </w:rPr>
        <w:footnoteRef/>
      </w:r>
      <w:r>
        <w:rPr/>
        <w:t xml:space="preserve"> </w:t>
      </w:r>
      <w:r>
        <w:rPr/>
        <w:t>CSA, Exh. 1, § II.1.2.</w:t>
      </w:r>
    </w:p>
  </w:footnote>
  <w:footnote w:id="23">
    <w:p>
      <w:pPr>
        <w:pStyle w:val="FootnoteText"/>
        <w:rPr/>
      </w:pPr>
      <w:r>
        <w:rPr>
          <w:rStyle w:val="FootnoteCharacters"/>
        </w:rPr>
        <w:footnoteRef/>
      </w:r>
      <w:r>
        <w:rPr/>
        <w:t xml:space="preserve"> </w:t>
      </w:r>
      <w:r>
        <w:rPr/>
        <w:t>SCGC Opening Brief, p. 6.</w:t>
      </w:r>
    </w:p>
  </w:footnote>
  <w:footnote w:id="24">
    <w:p>
      <w:pPr>
        <w:pStyle w:val="FootnoteText"/>
        <w:rPr/>
      </w:pPr>
      <w:r>
        <w:rPr>
          <w:rStyle w:val="FootnoteCharacters"/>
        </w:rPr>
        <w:footnoteRef/>
      </w:r>
      <w:r>
        <w:rPr/>
        <w:t xml:space="preserve"> </w:t>
      </w:r>
      <w:r>
        <w:rPr/>
        <w:t>CSA, § II.1.4.</w:t>
      </w:r>
    </w:p>
    <w:p>
      <w:pPr>
        <w:pStyle w:val="FootnoteText"/>
        <w:rPr/>
      </w:pPr>
      <w:r>
        <w:rPr/>
      </w:r>
    </w:p>
  </w:footnote>
  <w:footnote w:id="25">
    <w:p>
      <w:pPr>
        <w:pStyle w:val="FootnoteText"/>
        <w:rPr/>
      </w:pPr>
      <w:r>
        <w:rPr>
          <w:rStyle w:val="FootnoteCharacters"/>
        </w:rPr>
        <w:footnoteRef/>
      </w:r>
      <w:r>
        <w:rPr/>
        <w:t xml:space="preserve"> </w:t>
      </w:r>
      <w:r>
        <w:rPr/>
        <w:t>SCGC Opening Brief, p. 9.</w:t>
      </w:r>
    </w:p>
  </w:footnote>
  <w:footnote w:id="26">
    <w:p>
      <w:pPr>
        <w:pStyle w:val="FootnoteText"/>
        <w:rPr/>
      </w:pPr>
      <w:r>
        <w:rPr>
          <w:rStyle w:val="FootnoteCharacters"/>
        </w:rPr>
        <w:footnoteRef/>
      </w:r>
      <w:r>
        <w:rPr/>
        <w:t xml:space="preserve"> </w:t>
      </w:r>
      <w:r>
        <w:rPr>
          <w:u w:val="single"/>
        </w:rPr>
        <w:t>Id.</w:t>
      </w:r>
    </w:p>
  </w:footnote>
  <w:footnote w:id="27">
    <w:p>
      <w:pPr>
        <w:pStyle w:val="FootnoteText"/>
        <w:rPr/>
      </w:pPr>
      <w:r>
        <w:rPr>
          <w:rStyle w:val="FootnoteCharacters"/>
        </w:rPr>
        <w:footnoteRef/>
      </w:r>
      <w:r>
        <w:rPr/>
        <w:t xml:space="preserve"> </w:t>
      </w:r>
      <w:r>
        <w:rPr/>
        <w:t>CSA, Exh. 1, § II.1.3.3.</w:t>
      </w:r>
    </w:p>
  </w:footnote>
  <w:footnote w:id="28">
    <w:p>
      <w:pPr>
        <w:pStyle w:val="FootnoteText"/>
        <w:rPr/>
      </w:pPr>
      <w:r>
        <w:rPr>
          <w:rStyle w:val="FootnoteCharacters"/>
        </w:rPr>
        <w:footnoteRef/>
      </w:r>
      <w:r>
        <w:rPr/>
        <w:t xml:space="preserve"> </w:t>
      </w:r>
      <w:r>
        <w:rPr/>
        <w:t>SCGC Brief, pp. 9, 92-93.</w:t>
      </w:r>
    </w:p>
  </w:footnote>
  <w:footnote w:id="29">
    <w:p>
      <w:pPr>
        <w:pStyle w:val="FootnoteText"/>
        <w:rPr/>
      </w:pPr>
      <w:r>
        <w:rPr>
          <w:rStyle w:val="FootnoteCharacters"/>
        </w:rPr>
        <w:footnoteRef/>
      </w:r>
      <w:r>
        <w:rPr/>
        <w:t xml:space="preserve"> </w:t>
      </w:r>
      <w:r>
        <w:rPr/>
        <w:t>D.94-07-064.</w:t>
      </w:r>
    </w:p>
  </w:footnote>
  <w:footnote w:id="30">
    <w:p>
      <w:pPr>
        <w:pStyle w:val="FootnoteText"/>
        <w:rPr/>
      </w:pPr>
      <w:r>
        <w:rPr>
          <w:rStyle w:val="FootnoteCharacters"/>
        </w:rPr>
        <w:footnoteRef/>
      </w:r>
      <w:r>
        <w:rPr/>
        <w:t xml:space="preserve"> </w:t>
      </w:r>
      <w:r>
        <w:rPr/>
        <w:t>D.97-08-055.</w:t>
      </w:r>
    </w:p>
  </w:footnote>
  <w:footnote w:id="31">
    <w:p>
      <w:pPr>
        <w:pStyle w:val="FootnoteText"/>
        <w:rPr/>
      </w:pPr>
      <w:r>
        <w:rPr>
          <w:rStyle w:val="FootnoteCharacters"/>
        </w:rPr>
        <w:footnoteRef/>
      </w:r>
      <w:r>
        <w:rPr/>
        <w:t xml:space="preserve"> </w:t>
      </w:r>
      <w:r>
        <w:rPr/>
        <w:t>D.98-03-073.</w:t>
      </w:r>
    </w:p>
  </w:footnote>
  <w:footnote w:id="32">
    <w:p>
      <w:pPr>
        <w:pStyle w:val="FootnoteText"/>
        <w:rPr/>
      </w:pPr>
      <w:r>
        <w:rPr>
          <w:rStyle w:val="FootnoteCharacters"/>
        </w:rPr>
        <w:footnoteRef/>
      </w:r>
      <w:r>
        <w:rPr/>
        <w:t xml:space="preserve"> </w:t>
      </w:r>
      <w:r>
        <w:rPr/>
        <w:t>CSA, Exh. 1, § II.1.3.</w:t>
      </w:r>
    </w:p>
  </w:footnote>
  <w:footnote w:id="33">
    <w:p>
      <w:pPr>
        <w:pStyle w:val="FootnoteText"/>
        <w:rPr/>
      </w:pPr>
      <w:r>
        <w:rPr>
          <w:rStyle w:val="FootnoteCharacters"/>
        </w:rPr>
        <w:footnoteRef/>
      </w:r>
      <w:r>
        <w:rPr/>
        <w:t xml:space="preserve"> </w:t>
      </w:r>
      <w:r>
        <w:rPr/>
        <w:t>Yap, SCGC, Exh. 101, p. 14.</w:t>
      </w:r>
    </w:p>
  </w:footnote>
  <w:footnote w:id="34">
    <w:p>
      <w:pPr>
        <w:pStyle w:val="FootnoteText"/>
        <w:rPr/>
      </w:pPr>
      <w:r>
        <w:rPr>
          <w:rStyle w:val="FootnoteCharacters"/>
        </w:rPr>
        <w:footnoteRef/>
      </w:r>
      <w:r>
        <w:rPr/>
        <w:t xml:space="preserve"> </w:t>
      </w:r>
      <w:r>
        <w:rPr/>
        <w:t>Lorenz, SoCalGas, Tr. Vol. 8, p. 977, lines 18-24.</w:t>
      </w:r>
    </w:p>
  </w:footnote>
  <w:footnote w:id="35">
    <w:p>
      <w:pPr>
        <w:pStyle w:val="FootnoteText"/>
        <w:rPr/>
      </w:pPr>
      <w:r>
        <w:rPr>
          <w:rStyle w:val="FootnoteCharacters"/>
        </w:rPr>
        <w:footnoteRef/>
      </w:r>
      <w:r>
        <w:rPr/>
        <w:t xml:space="preserve"> </w:t>
      </w:r>
      <w:r>
        <w:rPr/>
        <w:t>CSA, Exh. 1, § II.1.1.3.</w:t>
      </w:r>
    </w:p>
  </w:footnote>
  <w:footnote w:id="36">
    <w:p>
      <w:pPr>
        <w:pStyle w:val="FootnoteText"/>
        <w:rPr/>
      </w:pPr>
      <w:r>
        <w:rPr>
          <w:rStyle w:val="FootnoteCharacters"/>
        </w:rPr>
        <w:footnoteRef/>
      </w:r>
      <w:r>
        <w:rPr/>
        <w:t xml:space="preserve"> </w:t>
      </w:r>
      <w:r>
        <w:rPr>
          <w:u w:val="single"/>
        </w:rPr>
        <w:t>Id.</w:t>
      </w:r>
    </w:p>
  </w:footnote>
  <w:footnote w:id="37">
    <w:p>
      <w:pPr>
        <w:pStyle w:val="FootnoteText"/>
        <w:rPr/>
      </w:pPr>
      <w:r>
        <w:rPr>
          <w:rStyle w:val="FootnoteCharacters"/>
        </w:rPr>
        <w:footnoteRef/>
      </w:r>
      <w:r>
        <w:rPr/>
        <w:t xml:space="preserve"> </w:t>
      </w:r>
      <w:r>
        <w:rPr>
          <w:u w:val="single"/>
        </w:rPr>
        <w:t>Id.</w:t>
      </w:r>
      <w:r>
        <w:rPr/>
        <w:t>, § II.1.1.5.</w:t>
      </w:r>
    </w:p>
  </w:footnote>
  <w:footnote w:id="38">
    <w:p>
      <w:pPr>
        <w:pStyle w:val="FootnoteText"/>
        <w:rPr/>
      </w:pPr>
      <w:r>
        <w:rPr>
          <w:rStyle w:val="FootnoteCharacters"/>
        </w:rPr>
        <w:footnoteRef/>
      </w:r>
      <w:r>
        <w:rPr/>
        <w:t xml:space="preserve"> </w:t>
      </w:r>
      <w:r>
        <w:rPr>
          <w:u w:val="single"/>
        </w:rPr>
        <w:t>Id.</w:t>
      </w:r>
      <w:r>
        <w:rPr/>
        <w:t>, § II.1.1.3.</w:t>
      </w:r>
    </w:p>
  </w:footnote>
  <w:footnote w:id="39">
    <w:p>
      <w:pPr>
        <w:pStyle w:val="FootnoteText"/>
        <w:rPr/>
      </w:pPr>
      <w:r>
        <w:rPr>
          <w:rStyle w:val="FootnoteCharacters"/>
        </w:rPr>
        <w:footnoteRef/>
      </w:r>
      <w:r>
        <w:rPr/>
        <w:t xml:space="preserve"> </w:t>
      </w:r>
      <w:r>
        <w:rPr>
          <w:u w:val="single"/>
        </w:rPr>
        <w:t>Id.</w:t>
      </w:r>
      <w:r>
        <w:rPr/>
        <w:t>, § II.1.1.3.</w:t>
      </w:r>
    </w:p>
  </w:footnote>
  <w:footnote w:id="40">
    <w:p>
      <w:pPr>
        <w:pStyle w:val="FootnoteText"/>
        <w:rPr/>
      </w:pPr>
      <w:r>
        <w:rPr>
          <w:rStyle w:val="FootnoteCharacters"/>
        </w:rPr>
        <w:footnoteRef/>
      </w:r>
      <w:r>
        <w:rPr/>
        <w:t xml:space="preserve"> </w:t>
      </w:r>
      <w:r>
        <w:rPr>
          <w:u w:val="single"/>
        </w:rPr>
        <w:t>Id.</w:t>
      </w:r>
      <w:r>
        <w:rPr/>
        <w:t>, § II.1.1.3.9.</w:t>
      </w:r>
    </w:p>
  </w:footnote>
  <w:footnote w:id="41">
    <w:p>
      <w:pPr>
        <w:pStyle w:val="FootnoteText"/>
        <w:rPr/>
      </w:pPr>
      <w:r>
        <w:rPr>
          <w:rStyle w:val="FootnoteCharacters"/>
        </w:rPr>
        <w:footnoteRef/>
      </w:r>
      <w:r>
        <w:rPr/>
        <w:t xml:space="preserve"> </w:t>
      </w:r>
      <w:r>
        <w:rPr>
          <w:u w:val="single"/>
        </w:rPr>
        <w:t>Id.</w:t>
      </w:r>
      <w:r>
        <w:rPr/>
        <w:t>, § II.1.1.</w:t>
      </w:r>
    </w:p>
  </w:footnote>
  <w:footnote w:id="42">
    <w:p>
      <w:pPr>
        <w:pStyle w:val="FootnoteText"/>
        <w:rPr/>
      </w:pPr>
      <w:r>
        <w:rPr>
          <w:rStyle w:val="FootnoteCharacters"/>
        </w:rPr>
        <w:footnoteRef/>
      </w:r>
      <w:r>
        <w:rPr/>
        <w:t xml:space="preserve"> </w:t>
      </w:r>
      <w:r>
        <w:rPr>
          <w:u w:val="single"/>
        </w:rPr>
        <w:t>Id.</w:t>
      </w:r>
    </w:p>
    <w:p>
      <w:pPr>
        <w:pStyle w:val="FootnoteText"/>
        <w:rPr/>
      </w:pPr>
      <w:r>
        <w:rPr/>
      </w:r>
    </w:p>
  </w:footnote>
  <w:footnote w:id="43">
    <w:p>
      <w:pPr>
        <w:pStyle w:val="FootnoteText"/>
        <w:rPr/>
      </w:pPr>
      <w:r>
        <w:rPr>
          <w:rStyle w:val="FootnoteCharacters"/>
        </w:rPr>
        <w:footnoteRef/>
      </w:r>
      <w:r>
        <w:rPr/>
        <w:t xml:space="preserve"> </w:t>
      </w:r>
      <w:r>
        <w:rPr/>
        <w:t>SCGC Opening Brief, pp. 33-45.</w:t>
      </w:r>
    </w:p>
  </w:footnote>
  <w:footnote w:id="44">
    <w:p>
      <w:pPr>
        <w:pStyle w:val="FootnoteText"/>
        <w:rPr/>
      </w:pPr>
      <w:r>
        <w:rPr>
          <w:rStyle w:val="FootnoteCharacters"/>
        </w:rPr>
        <w:footnoteRef/>
      </w:r>
      <w:r>
        <w:rPr/>
        <w:t xml:space="preserve"> </w:t>
      </w:r>
      <w:r>
        <w:rPr>
          <w:u w:val="single"/>
        </w:rPr>
        <w:t>Id.</w:t>
      </w:r>
      <w:r>
        <w:rPr/>
        <w:t>, p. 14.</w:t>
      </w:r>
    </w:p>
    <w:p>
      <w:pPr>
        <w:pStyle w:val="FootnoteText"/>
        <w:rPr/>
      </w:pPr>
      <w:r>
        <w:rPr/>
      </w:r>
    </w:p>
  </w:footnote>
  <w:footnote w:id="45">
    <w:p>
      <w:pPr>
        <w:pStyle w:val="FootnoteText"/>
        <w:rPr/>
      </w:pPr>
      <w:r>
        <w:rPr>
          <w:rStyle w:val="FootnoteCharacters"/>
        </w:rPr>
        <w:footnoteRef/>
      </w:r>
      <w:r>
        <w:rPr/>
        <w:t xml:space="preserve"> </w:t>
      </w:r>
      <w:r>
        <w:rPr>
          <w:u w:val="single"/>
        </w:rPr>
        <w:t>Id.</w:t>
      </w:r>
      <w:r>
        <w:rPr/>
        <w:t>, p. 26.</w:t>
      </w:r>
    </w:p>
  </w:footnote>
  <w:footnote w:id="46">
    <w:p>
      <w:pPr>
        <w:pStyle w:val="FootnoteText"/>
        <w:rPr/>
      </w:pPr>
      <w:r>
        <w:rPr>
          <w:rStyle w:val="FootnoteCharacters"/>
        </w:rPr>
        <w:footnoteRef/>
      </w:r>
      <w:r>
        <w:rPr/>
        <w:t xml:space="preserve"> </w:t>
      </w:r>
      <w:r>
        <w:rPr>
          <w:u w:val="single"/>
        </w:rPr>
        <w:t>Id.</w:t>
      </w:r>
      <w:r>
        <w:rPr/>
        <w:t>, pp. 10-12.</w:t>
      </w:r>
    </w:p>
  </w:footnote>
  <w:footnote w:id="47">
    <w:p>
      <w:pPr>
        <w:pStyle w:val="FootnoteText"/>
        <w:rPr/>
      </w:pPr>
      <w:r>
        <w:rPr>
          <w:rStyle w:val="FootnoteCharacters"/>
        </w:rPr>
        <w:footnoteRef/>
      </w:r>
      <w:r>
        <w:rPr/>
        <w:t xml:space="preserve"> </w:t>
      </w:r>
      <w:r>
        <w:rPr>
          <w:u w:val="single"/>
        </w:rPr>
        <w:t>Los Angeles Times</w:t>
      </w:r>
      <w:r>
        <w:rPr/>
        <w:t>, April 26, 2000.</w:t>
      </w:r>
    </w:p>
  </w:footnote>
  <w:footnote w:id="48">
    <w:p>
      <w:pPr>
        <w:pStyle w:val="FootnoteText"/>
        <w:rPr/>
      </w:pPr>
      <w:r>
        <w:rPr>
          <w:rStyle w:val="FootnoteCharacters"/>
        </w:rPr>
        <w:footnoteRef/>
      </w:r>
      <w:r>
        <w:rPr/>
        <w:t xml:space="preserve"> </w:t>
      </w:r>
      <w:r>
        <w:rPr>
          <w:u w:val="single"/>
        </w:rPr>
        <w:t>Los Angeles Times</w:t>
      </w:r>
      <w:r>
        <w:rPr/>
        <w:t>, July 6, 2000.</w:t>
      </w:r>
    </w:p>
  </w:footnote>
  <w:footnote w:id="49">
    <w:p>
      <w:pPr>
        <w:pStyle w:val="FootnoteText"/>
        <w:rPr/>
      </w:pPr>
      <w:r>
        <w:rPr>
          <w:rStyle w:val="FootnoteCharacters"/>
        </w:rPr>
        <w:footnoteRef/>
      </w:r>
      <w:r>
        <w:rPr/>
        <w:t xml:space="preserve"> </w:t>
      </w:r>
      <w:r>
        <w:rPr/>
        <w:t>SCGC Opening Brief, pp. 5, 73-75.</w:t>
      </w:r>
    </w:p>
  </w:footnote>
  <w:footnote w:id="50">
    <w:p>
      <w:pPr>
        <w:pStyle w:val="FootnoteText"/>
        <w:rPr/>
      </w:pPr>
      <w:r>
        <w:rPr>
          <w:rStyle w:val="FootnoteCharacters"/>
        </w:rPr>
        <w:footnoteRef/>
      </w:r>
      <w:r>
        <w:rPr/>
        <w:t xml:space="preserve"> </w:t>
      </w:r>
      <w:r>
        <w:rPr/>
        <w:t>CSA, Exh. 1, p. 40.</w:t>
      </w:r>
    </w:p>
  </w:footnote>
  <w:footnote w:id="51">
    <w:p>
      <w:pPr>
        <w:pStyle w:val="FootnoteText"/>
        <w:rPr/>
      </w:pPr>
      <w:r>
        <w:rPr>
          <w:rStyle w:val="FootnoteCharacters"/>
        </w:rPr>
        <w:footnoteRef/>
      </w:r>
      <w:r>
        <w:rPr/>
        <w:t xml:space="preserve"> </w:t>
      </w:r>
      <w:r>
        <w:rPr/>
        <w:t>SCGC Opening Brief, pp. 16-17; WGSI/Enron Brief, pp. 16-17; CSA, Exh. 1, § II.3.2.</w:t>
      </w:r>
    </w:p>
  </w:footnote>
  <w:footnote w:id="52">
    <w:p>
      <w:pPr>
        <w:pStyle w:val="FootnoteText"/>
        <w:rPr/>
      </w:pPr>
      <w:r>
        <w:rPr>
          <w:rStyle w:val="FootnoteCharacters"/>
        </w:rPr>
        <w:footnoteRef/>
      </w:r>
      <w:r>
        <w:rPr/>
        <w:t xml:space="preserve"> </w:t>
      </w:r>
      <w:r>
        <w:rPr/>
        <w:t>SCGC Opening Brief, p. 6.</w:t>
      </w:r>
    </w:p>
  </w:footnote>
  <w:footnote w:id="53">
    <w:p>
      <w:pPr>
        <w:pStyle w:val="FootnoteText"/>
        <w:rPr/>
      </w:pPr>
      <w:r>
        <w:rPr>
          <w:rStyle w:val="FootnoteCharacters"/>
        </w:rPr>
        <w:footnoteRef/>
      </w:r>
      <w:r>
        <w:rPr/>
        <w:t xml:space="preserve"> </w:t>
      </w:r>
      <w:r>
        <w:rPr/>
        <w:t>CSA, Exh. 1, § II.3.2.</w:t>
      </w:r>
    </w:p>
  </w:footnote>
  <w:footnote w:id="54">
    <w:p>
      <w:pPr>
        <w:pStyle w:val="FootnoteText"/>
        <w:rPr/>
      </w:pPr>
      <w:r>
        <w:rPr>
          <w:rStyle w:val="FootnoteCharacters"/>
        </w:rPr>
        <w:footnoteRef/>
      </w:r>
      <w:r>
        <w:rPr/>
        <w:t xml:space="preserve"> </w:t>
      </w:r>
      <w:r>
        <w:rPr/>
        <w:t>SCGC Opening Brief, p. 7.</w:t>
      </w:r>
    </w:p>
  </w:footnote>
  <w:footnote w:id="55">
    <w:p>
      <w:pPr>
        <w:pStyle w:val="FootnoteText"/>
        <w:rPr/>
      </w:pPr>
      <w:r>
        <w:rPr>
          <w:rStyle w:val="FootnoteCharacters"/>
        </w:rPr>
        <w:footnoteRef/>
      </w:r>
      <w:r>
        <w:rPr/>
        <w:t xml:space="preserve"> </w:t>
      </w:r>
      <w:r>
        <w:rPr/>
        <w:t>CSA, Exh. 1, § II.3.2.</w:t>
      </w:r>
    </w:p>
  </w:footnote>
  <w:footnote w:id="56">
    <w:p>
      <w:pPr>
        <w:pStyle w:val="FootnoteText"/>
        <w:rPr/>
      </w:pPr>
      <w:r>
        <w:rPr>
          <w:rStyle w:val="FootnoteCharacters"/>
        </w:rPr>
        <w:footnoteRef/>
      </w:r>
      <w:r>
        <w:rPr/>
        <w:t xml:space="preserve"> </w:t>
      </w:r>
      <w:r>
        <w:rPr/>
        <w:t>CSA Exh. 1, pp.41-45.</w:t>
      </w:r>
    </w:p>
  </w:footnote>
  <w:footnote w:id="57">
    <w:p>
      <w:pPr>
        <w:pStyle w:val="FootnoteText"/>
        <w:rPr/>
      </w:pPr>
      <w:r>
        <w:rPr>
          <w:rStyle w:val="FootnoteCharacters"/>
        </w:rPr>
        <w:footnoteRef/>
      </w:r>
      <w:r>
        <w:rPr/>
        <w:t xml:space="preserve"> </w:t>
      </w:r>
      <w:r>
        <w:rPr/>
        <w:t>SCGC Opening Brief, p. 7.</w:t>
      </w:r>
    </w:p>
  </w:footnote>
  <w:footnote w:id="58">
    <w:p>
      <w:pPr>
        <w:pStyle w:val="FootnoteText"/>
        <w:rPr/>
      </w:pPr>
      <w:r>
        <w:rPr>
          <w:rStyle w:val="FootnoteCharacters"/>
        </w:rPr>
        <w:footnoteRef/>
      </w:r>
      <w:r>
        <w:rPr/>
        <w:t xml:space="preserve"> </w:t>
      </w:r>
      <w:r>
        <w:rPr/>
        <w:t xml:space="preserve">CSA, Exh. 1, pp. 39-50; § II.3.1-3.3. </w:t>
      </w:r>
    </w:p>
  </w:footnote>
  <w:footnote w:id="59">
    <w:p>
      <w:pPr>
        <w:pStyle w:val="FootnoteText"/>
        <w:rPr/>
      </w:pPr>
      <w:r>
        <w:rPr>
          <w:rStyle w:val="FootnoteCharacters"/>
        </w:rPr>
        <w:footnoteRef/>
      </w:r>
      <w:r>
        <w:rPr/>
        <w:t xml:space="preserve"> </w:t>
      </w:r>
      <w:r>
        <w:rPr/>
        <w:t xml:space="preserve">CSA, Exh. 1, pp. 45-50, § II.3.3.; </w:t>
      </w:r>
      <w:r>
        <w:rPr>
          <w:u w:val="single"/>
        </w:rPr>
        <w:t>see</w:t>
      </w:r>
      <w:r>
        <w:rPr/>
        <w:t xml:space="preserve"> </w:t>
      </w:r>
      <w:r>
        <w:rPr>
          <w:u w:val="single"/>
        </w:rPr>
        <w:t>also</w:t>
      </w:r>
      <w:r>
        <w:rPr/>
        <w:t>, WGSI/Enron Opening Brief, pp. 18-19.</w:t>
      </w:r>
    </w:p>
  </w:footnote>
  <w:footnote w:id="60">
    <w:p>
      <w:pPr>
        <w:pStyle w:val="FootnoteText"/>
        <w:rPr/>
      </w:pPr>
      <w:r>
        <w:rPr>
          <w:rStyle w:val="FootnoteCharacters"/>
        </w:rPr>
        <w:footnoteRef/>
      </w:r>
      <w:r>
        <w:rPr/>
        <w:t xml:space="preserve"> </w:t>
      </w:r>
      <w:r>
        <w:rPr/>
        <w:t>CSA, Exh. 1, II.3.3.</w:t>
      </w:r>
    </w:p>
  </w:footnote>
  <w:footnote w:id="61">
    <w:p>
      <w:pPr>
        <w:pStyle w:val="FootnoteText"/>
        <w:rPr/>
      </w:pPr>
      <w:r>
        <w:rPr>
          <w:rStyle w:val="FootnoteCharacters"/>
        </w:rPr>
        <w:footnoteRef/>
      </w:r>
      <w:r>
        <w:rPr/>
        <w:t xml:space="preserve"> </w:t>
      </w:r>
      <w:r>
        <w:rPr/>
        <w:t>Amirault, WGSI, Vol. 5, p. 602, line 22 - p. 603, line 28.</w:t>
      </w:r>
    </w:p>
  </w:footnote>
  <w:footnote w:id="62">
    <w:p>
      <w:pPr>
        <w:pStyle w:val="FootnoteText"/>
        <w:rPr/>
      </w:pPr>
      <w:r>
        <w:rPr>
          <w:rStyle w:val="FootnoteCharacters"/>
        </w:rPr>
        <w:footnoteRef/>
      </w:r>
      <w:r>
        <w:rPr/>
        <w:t xml:space="preserve"> </w:t>
      </w:r>
      <w:r>
        <w:rPr/>
        <w:t>SCGC Brief, pp. 7, 62-64.</w:t>
      </w:r>
    </w:p>
  </w:footnote>
  <w:footnote w:id="63">
    <w:p>
      <w:pPr>
        <w:pStyle w:val="FootnoteText"/>
        <w:rPr/>
      </w:pPr>
      <w:r>
        <w:rPr>
          <w:rStyle w:val="FootnoteCharacters"/>
        </w:rPr>
        <w:footnoteRef/>
      </w:r>
      <w:r>
        <w:rPr/>
        <w:t xml:space="preserve"> </w:t>
      </w:r>
      <w:r>
        <w:rPr/>
        <w:t>Lorenz, SoCalGas, Tr. Vol. 4, p. 476, lines 8-13.</w:t>
      </w:r>
    </w:p>
  </w:footnote>
  <w:footnote w:id="64">
    <w:p>
      <w:pPr>
        <w:pStyle w:val="FootnoteText"/>
        <w:rPr/>
      </w:pPr>
      <w:r>
        <w:rPr>
          <w:rStyle w:val="FootnoteCharacters"/>
        </w:rPr>
        <w:footnoteRef/>
      </w:r>
      <w:r>
        <w:rPr/>
        <w:t xml:space="preserve"> </w:t>
      </w:r>
      <w:r>
        <w:rPr/>
        <w:t>WGSI/Enron Opening Brief, p. 11.</w:t>
      </w:r>
    </w:p>
  </w:footnote>
  <w:footnote w:id="65">
    <w:p>
      <w:pPr>
        <w:pStyle w:val="FootnoteText"/>
        <w:rPr/>
      </w:pPr>
      <w:r>
        <w:rPr>
          <w:rStyle w:val="FootnoteCharacters"/>
        </w:rPr>
        <w:footnoteRef/>
      </w:r>
      <w:r>
        <w:rPr/>
        <w:t xml:space="preserve"> </w:t>
      </w:r>
      <w:r>
        <w:rPr/>
        <w:t>SCGC Opening Brief, p. 7.</w:t>
      </w:r>
    </w:p>
  </w:footnote>
  <w:footnote w:id="66">
    <w:p>
      <w:pPr>
        <w:pStyle w:val="FootnoteText"/>
        <w:rPr/>
      </w:pPr>
      <w:r>
        <w:rPr>
          <w:rStyle w:val="FootnoteCharacters"/>
        </w:rPr>
        <w:footnoteRef/>
      </w:r>
      <w:r>
        <w:rPr/>
        <w:t xml:space="preserve"> </w:t>
      </w:r>
      <w:r>
        <w:rPr>
          <w:u w:val="single"/>
        </w:rPr>
        <w:t>Id.</w:t>
      </w:r>
      <w:r>
        <w:rPr/>
        <w:t>, pp. 60-61.</w:t>
      </w:r>
    </w:p>
  </w:footnote>
  <w:footnote w:id="67">
    <w:p>
      <w:pPr>
        <w:pStyle w:val="FootnoteText"/>
        <w:rPr/>
      </w:pPr>
      <w:r>
        <w:rPr>
          <w:rStyle w:val="FootnoteCharacters"/>
        </w:rPr>
        <w:footnoteRef/>
      </w:r>
      <w:r>
        <w:rPr/>
        <w:t xml:space="preserve"> </w:t>
      </w:r>
      <w:r>
        <w:rPr/>
        <w:t xml:space="preserve">CSA, Exh. 1, pp. 58-59, §II.2.1; </w:t>
      </w:r>
      <w:r>
        <w:rPr>
          <w:u w:val="single"/>
        </w:rPr>
        <w:t>see also</w:t>
      </w:r>
      <w:r>
        <w:rPr/>
        <w:t>, WGSI/Enron Brief, pp. 13-16 for a detailed discussion of the benefits of the CSA approach to storage.</w:t>
      </w:r>
    </w:p>
  </w:footnote>
  <w:footnote w:id="68">
    <w:p>
      <w:pPr>
        <w:pStyle w:val="FootnoteText"/>
        <w:rPr/>
      </w:pPr>
      <w:r>
        <w:rPr>
          <w:rStyle w:val="FootnoteCharacters"/>
        </w:rPr>
        <w:footnoteRef/>
      </w:r>
      <w:r>
        <w:rPr/>
        <w:t xml:space="preserve"> </w:t>
      </w:r>
      <w:r>
        <w:rPr/>
        <w:t>SCGC Brief, p. 8.</w:t>
      </w:r>
    </w:p>
  </w:footnote>
  <w:footnote w:id="69">
    <w:p>
      <w:pPr>
        <w:pStyle w:val="FootnoteText"/>
        <w:rPr/>
      </w:pPr>
      <w:r>
        <w:rPr>
          <w:rStyle w:val="FootnoteCharacters"/>
        </w:rPr>
        <w:footnoteRef/>
      </w:r>
      <w:r>
        <w:rPr/>
        <w:t xml:space="preserve"> </w:t>
      </w:r>
      <w:r>
        <w:rPr/>
        <w:t>Dasovich, Enron, Tr. Vol. 4, p. 478, lines 2-10.</w:t>
      </w:r>
    </w:p>
  </w:footnote>
  <w:footnote w:id="70">
    <w:p>
      <w:pPr>
        <w:pStyle w:val="FootnoteText"/>
        <w:rPr/>
      </w:pPr>
      <w:r>
        <w:rPr>
          <w:rStyle w:val="FootnoteCharacters"/>
        </w:rPr>
        <w:footnoteRef/>
      </w:r>
      <w:r>
        <w:rPr/>
        <w:t xml:space="preserve"> </w:t>
      </w:r>
      <w:r>
        <w:rPr/>
        <w:t>SCGC, Opening Brief, p. 43.</w:t>
      </w:r>
    </w:p>
  </w:footnote>
  <w:footnote w:id="71">
    <w:p>
      <w:pPr>
        <w:pStyle w:val="FootnoteText"/>
        <w:rPr/>
      </w:pPr>
      <w:r>
        <w:rPr>
          <w:rStyle w:val="FootnoteCharacters"/>
        </w:rPr>
        <w:footnoteRef/>
      </w:r>
      <w:r>
        <w:rPr/>
        <w:t xml:space="preserve"> </w:t>
      </w:r>
      <w:r>
        <w:rPr/>
        <w:t>CSA, Exh. 1, § II.2.3.</w:t>
      </w:r>
    </w:p>
  </w:footnote>
  <w:footnote w:id="72">
    <w:p>
      <w:pPr>
        <w:pStyle w:val="FootnoteText"/>
        <w:rPr/>
      </w:pPr>
      <w:r>
        <w:rPr>
          <w:rStyle w:val="FootnoteCharacters"/>
        </w:rPr>
        <w:footnoteRef/>
      </w:r>
      <w:r>
        <w:rPr/>
        <w:t xml:space="preserve"> </w:t>
      </w:r>
      <w:r>
        <w:rPr/>
        <w:t>SCGC Opening Brief, p. 10.</w:t>
      </w:r>
    </w:p>
  </w:footnote>
  <w:footnote w:id="73">
    <w:p>
      <w:pPr>
        <w:pStyle w:val="FootnoteText"/>
        <w:rPr/>
      </w:pPr>
      <w:r>
        <w:rPr>
          <w:rStyle w:val="FootnoteCharacters"/>
        </w:rPr>
        <w:footnoteRef/>
      </w:r>
      <w:r>
        <w:rPr/>
        <w:t xml:space="preserve"> </w:t>
      </w:r>
      <w:r>
        <w:rPr/>
        <w:t>Amirault, WGSI, Ex. 16, p. 4, line 10 - p. 5, line 5.</w:t>
      </w:r>
    </w:p>
  </w:footnote>
  <w:footnote w:id="74">
    <w:p>
      <w:pPr>
        <w:pStyle w:val="FootnoteText"/>
        <w:rPr/>
      </w:pPr>
      <w:r>
        <w:rPr>
          <w:rStyle w:val="FootnoteCharacters"/>
        </w:rPr>
        <w:footnoteRef/>
      </w:r>
      <w:r>
        <w:rPr/>
        <w:t xml:space="preserve"> </w:t>
      </w:r>
      <w:r>
        <w:rPr/>
        <w:t>Amirault, WGSI, Ex. 9, p. 3, and Ex. 16, pp. 4-5.</w:t>
      </w:r>
    </w:p>
  </w:footnote>
  <w:footnote w:id="75">
    <w:p>
      <w:pPr>
        <w:pStyle w:val="FootnoteText"/>
        <w:rPr/>
      </w:pPr>
      <w:r>
        <w:rPr>
          <w:rStyle w:val="FootnoteCharacters"/>
        </w:rPr>
        <w:footnoteRef/>
      </w:r>
      <w:r>
        <w:rPr/>
        <w:t xml:space="preserve"> </w:t>
      </w:r>
      <w:r>
        <w:rPr/>
        <w:t>SCGC Opening Brief, p.10.</w:t>
      </w:r>
    </w:p>
  </w:footnote>
  <w:footnote w:id="76">
    <w:p>
      <w:pPr>
        <w:pStyle w:val="FootnoteText"/>
        <w:rPr/>
      </w:pPr>
      <w:r>
        <w:rPr>
          <w:rStyle w:val="FootnoteCharacters"/>
        </w:rPr>
        <w:footnoteRef/>
      </w:r>
      <w:r>
        <w:rPr/>
        <w:t xml:space="preserve"> </w:t>
      </w:r>
      <w:r>
        <w:rPr/>
        <w:t>D.99-09-068, 1999 Cal. PUC LEXIS 638 at 5.</w:t>
      </w:r>
    </w:p>
  </w:footnote>
  <w:footnote w:id="77">
    <w:p>
      <w:pPr>
        <w:pStyle w:val="FootnoteText"/>
        <w:rPr/>
      </w:pPr>
      <w:r>
        <w:rPr>
          <w:rStyle w:val="FootnoteCharacters"/>
        </w:rPr>
        <w:footnoteRef/>
      </w:r>
      <w:r>
        <w:rPr/>
        <w:t xml:space="preserve"> </w:t>
      </w:r>
      <w:r>
        <w:rPr/>
        <w:t>SCGC Opening Brief, p. 10.</w:t>
      </w:r>
    </w:p>
  </w:footnote>
  <w:footnote w:id="78">
    <w:p>
      <w:pPr>
        <w:pStyle w:val="FootnoteText"/>
        <w:rPr/>
      </w:pPr>
      <w:r>
        <w:rPr>
          <w:rStyle w:val="FootnoteCharacters"/>
        </w:rPr>
        <w:footnoteRef/>
      </w:r>
      <w:r>
        <w:rPr/>
        <w:t xml:space="preserve"> </w:t>
      </w:r>
      <w:r>
        <w:rPr/>
        <w:t>Lorenz, SoCalGas, Tr. Vol. 4, p. 412, line 5 –  p. 414, line 21.</w:t>
      </w:r>
    </w:p>
  </w:footnote>
  <w:footnote w:id="79">
    <w:p>
      <w:pPr>
        <w:pStyle w:val="FootnoteText"/>
        <w:rPr/>
      </w:pPr>
      <w:r>
        <w:rPr>
          <w:rStyle w:val="FootnoteCharacters"/>
        </w:rPr>
        <w:footnoteRef/>
      </w:r>
      <w:r>
        <w:rPr/>
        <w:t xml:space="preserve"> </w:t>
      </w:r>
      <w:r>
        <w:rPr/>
        <w:t>CSA, Exh. 1, § II.3.1.</w:t>
      </w:r>
    </w:p>
  </w:footnote>
  <w:footnote w:id="80">
    <w:p>
      <w:pPr>
        <w:pStyle w:val="FootnoteText"/>
        <w:rPr/>
      </w:pPr>
      <w:r>
        <w:rPr>
          <w:rStyle w:val="FootnoteCharacters"/>
        </w:rPr>
        <w:footnoteRef/>
      </w:r>
      <w:r>
        <w:rPr/>
        <w:t xml:space="preserve"> </w:t>
      </w:r>
      <w:r>
        <w:rPr/>
        <w:t>SCGC Opening Brief, p. 9.</w:t>
      </w:r>
    </w:p>
  </w:footnote>
  <w:footnote w:id="81">
    <w:p>
      <w:pPr>
        <w:pStyle w:val="FootnoteText"/>
        <w:rPr/>
      </w:pPr>
      <w:r>
        <w:rPr>
          <w:rStyle w:val="FootnoteCharacters"/>
        </w:rPr>
        <w:footnoteRef/>
      </w:r>
      <w:r>
        <w:rPr/>
        <w:t xml:space="preserve"> </w:t>
      </w:r>
      <w:r>
        <w:rPr/>
        <w:t>CSA, Exh. 1, pp. 53-57, § II.5.3.</w:t>
      </w:r>
    </w:p>
  </w:footnote>
  <w:footnote w:id="82">
    <w:p>
      <w:pPr>
        <w:pStyle w:val="FootnoteText"/>
        <w:rPr/>
      </w:pPr>
      <w:r>
        <w:rPr>
          <w:rStyle w:val="FootnoteCharacters"/>
        </w:rPr>
        <w:footnoteRef/>
      </w:r>
      <w:r>
        <w:rPr/>
        <w:t xml:space="preserve"> </w:t>
      </w:r>
      <w:r>
        <w:rPr/>
        <w:t>SCGC Opening Brief, pp. 9, 104-105.</w:t>
      </w:r>
    </w:p>
  </w:footnote>
  <w:footnote w:id="83">
    <w:p>
      <w:pPr>
        <w:pStyle w:val="FootnoteText"/>
        <w:rPr/>
      </w:pPr>
      <w:r>
        <w:rPr>
          <w:rStyle w:val="FootnoteCharacters"/>
        </w:rPr>
        <w:footnoteRef/>
      </w:r>
      <w:r>
        <w:rPr/>
        <w:t xml:space="preserve"> </w:t>
      </w:r>
      <w:r>
        <w:rPr/>
        <w:t>WGSI/Enron Opening Brief, p. 20; Yap, SCGC, Tr. Vol. 3, pp. 264-270..</w:t>
      </w:r>
    </w:p>
  </w:footnote>
  <w:footnote w:id="84">
    <w:p>
      <w:pPr>
        <w:pStyle w:val="FootnoteText"/>
        <w:rPr/>
      </w:pPr>
      <w:r>
        <w:rPr>
          <w:rStyle w:val="FootnoteCharacters"/>
        </w:rPr>
        <w:footnoteRef/>
      </w:r>
      <w:r>
        <w:rPr/>
        <w:t xml:space="preserve"> </w:t>
      </w:r>
      <w:r>
        <w:rPr/>
        <w:t>Power, Long Beach, Vol. 3, p. 260, line 17 - p. 261, line 21.</w:t>
      </w:r>
    </w:p>
  </w:footnote>
  <w:footnote w:id="85">
    <w:p>
      <w:pPr>
        <w:pStyle w:val="FootnoteText"/>
        <w:rPr/>
      </w:pPr>
      <w:r>
        <w:rPr>
          <w:rStyle w:val="FootnoteCharacters"/>
        </w:rPr>
        <w:footnoteRef/>
      </w:r>
      <w:r>
        <w:rPr/>
        <w:t xml:space="preserve"> </w:t>
      </w:r>
      <w:r>
        <w:rPr/>
        <w:t>SCGC Opening Brief, pp. 9, 96.</w:t>
      </w:r>
    </w:p>
  </w:footnote>
  <w:footnote w:id="86">
    <w:p>
      <w:pPr>
        <w:pStyle w:val="FootnoteText"/>
        <w:rPr/>
      </w:pPr>
      <w:r>
        <w:rPr>
          <w:rStyle w:val="FootnoteCharacters"/>
        </w:rPr>
        <w:footnoteRef/>
      </w:r>
      <w:r>
        <w:rPr/>
        <w:t xml:space="preserve"> </w:t>
      </w:r>
      <w:r>
        <w:rPr>
          <w:u w:val="single"/>
        </w:rPr>
        <w:t>See e.g.</w:t>
      </w:r>
      <w:r>
        <w:rPr/>
        <w:t>, WGSI/Enron Opening Brief, pp. 19-20</w:t>
      </w:r>
    </w:p>
  </w:footnote>
  <w:footnote w:id="87">
    <w:p>
      <w:pPr>
        <w:pStyle w:val="FootnoteText"/>
        <w:rPr/>
      </w:pPr>
      <w:r>
        <w:rPr>
          <w:rStyle w:val="FootnoteCharacters"/>
        </w:rPr>
        <w:footnoteRef/>
      </w:r>
      <w:r>
        <w:rPr/>
        <w:t xml:space="preserve"> </w:t>
      </w:r>
      <w:r>
        <w:rPr/>
        <w:t>Pocta, ORA, Tr. Vol. 8, p. 482.</w:t>
      </w:r>
    </w:p>
  </w:footnote>
  <w:footnote w:id="88">
    <w:p>
      <w:pPr>
        <w:pStyle w:val="FootnoteText"/>
        <w:rPr/>
      </w:pPr>
      <w:r>
        <w:rPr>
          <w:rStyle w:val="FootnoteCharacters"/>
        </w:rPr>
        <w:footnoteRef/>
      </w:r>
      <w:r>
        <w:rPr/>
        <w:t xml:space="preserve"> </w:t>
      </w:r>
      <w:r>
        <w:rPr/>
        <w:t>SCGC Opening Brief, pp. 7, 102-103.</w:t>
      </w:r>
    </w:p>
  </w:footnote>
  <w:footnote w:id="89">
    <w:p>
      <w:pPr>
        <w:pStyle w:val="FootnoteText"/>
        <w:rPr/>
      </w:pPr>
      <w:r>
        <w:rPr>
          <w:rStyle w:val="FootnoteCharacters"/>
        </w:rPr>
        <w:footnoteRef/>
      </w:r>
      <w:r>
        <w:rPr/>
        <w:t xml:space="preserve"> </w:t>
      </w:r>
      <w:r>
        <w:rPr/>
        <w:t>CSA, Exh. 1, § I.1.6.2.</w:t>
      </w:r>
    </w:p>
  </w:footnote>
  <w:footnote w:id="90">
    <w:p>
      <w:pPr>
        <w:pStyle w:val="FootnoteText"/>
        <w:rPr/>
      </w:pPr>
      <w:r>
        <w:rPr>
          <w:rStyle w:val="FootnoteCharacters"/>
        </w:rPr>
        <w:footnoteRef/>
      </w:r>
      <w:r>
        <w:rPr/>
        <w:t xml:space="preserve"> </w:t>
      </w:r>
      <w:r>
        <w:rPr/>
        <w:t>SCGC Opening Brief, pp. 10, 108.</w:t>
      </w:r>
    </w:p>
  </w:footnote>
  <w:footnote w:id="91">
    <w:p>
      <w:pPr>
        <w:pStyle w:val="FootnoteText"/>
        <w:rPr/>
      </w:pPr>
      <w:r>
        <w:rPr>
          <w:rStyle w:val="FootnoteCharacters"/>
        </w:rPr>
        <w:footnoteRef/>
      </w:r>
      <w:r>
        <w:rPr/>
        <w:t xml:space="preserve"> </w:t>
      </w:r>
      <w:r>
        <w:rPr/>
        <w:t>CSA, Exh. 1, § I.1.7.</w:t>
      </w:r>
    </w:p>
  </w:footnote>
  <w:footnote w:id="92">
    <w:p>
      <w:pPr>
        <w:pStyle w:val="FootnoteText"/>
        <w:rPr/>
      </w:pPr>
      <w:r>
        <w:rPr>
          <w:rStyle w:val="FootnoteCharacters"/>
        </w:rPr>
        <w:footnoteRef/>
      </w:r>
      <w:r>
        <w:rPr/>
        <w:t xml:space="preserve"> </w:t>
      </w:r>
      <w:r>
        <w:rPr>
          <w:u w:val="single"/>
        </w:rPr>
        <w:t>Id.</w:t>
      </w:r>
      <w:r>
        <w:rPr/>
        <w:t xml:space="preserve">, § I.1.8.  </w:t>
      </w:r>
    </w:p>
  </w:footnote>
  <w:footnote w:id="93">
    <w:p>
      <w:pPr>
        <w:pStyle w:val="FootnoteText"/>
        <w:rPr/>
      </w:pPr>
      <w:r>
        <w:rPr>
          <w:rStyle w:val="FootnoteCharacters"/>
        </w:rPr>
        <w:footnoteRef/>
      </w:r>
      <w:r>
        <w:rPr/>
        <w:t xml:space="preserve"> </w:t>
      </w:r>
      <w:r>
        <w:rPr/>
        <w:t>SCGC Opening Brief, p. 2.</w:t>
      </w:r>
    </w:p>
  </w:footnote>
  <w:footnote w:id="94">
    <w:p>
      <w:pPr>
        <w:pStyle w:val="FootnoteText"/>
        <w:rPr/>
      </w:pPr>
      <w:r>
        <w:rPr>
          <w:rStyle w:val="FootnoteCharacters"/>
        </w:rPr>
        <w:footnoteRef/>
      </w:r>
      <w:r>
        <w:rPr/>
        <w:t xml:space="preserve"> </w:t>
      </w:r>
      <w:r>
        <w:rPr>
          <w:u w:val="single"/>
        </w:rPr>
        <w:t>What We Can Expect From Restructuring In National Gas Distribution</w:t>
      </w:r>
      <w:r>
        <w:rPr/>
        <w:t>, 21 Energy Law Journal 51, 74.</w:t>
      </w:r>
    </w:p>
  </w:footnote>
  <w:footnote w:id="95">
    <w:p>
      <w:pPr>
        <w:pStyle w:val="FootnoteText"/>
        <w:rPr/>
      </w:pPr>
      <w:r>
        <w:rPr>
          <w:rStyle w:val="FootnoteCharacters"/>
        </w:rPr>
        <w:footnoteRef/>
      </w:r>
      <w:r>
        <w:rPr/>
        <w:t xml:space="preserve"> </w:t>
      </w:r>
      <w:r>
        <w:rPr>
          <w:u w:val="single"/>
        </w:rPr>
        <w:t>Id</w:t>
      </w:r>
      <w:r>
        <w:rPr/>
        <w:t>.</w:t>
      </w:r>
    </w:p>
    <w:p>
      <w:pPr>
        <w:pStyle w:val="FootnoteText"/>
        <w:rPr/>
      </w:pPr>
      <w:r>
        <w:rPr/>
      </w:r>
    </w:p>
  </w:footnote>
  <w:footnote w:id="96">
    <w:p>
      <w:pPr>
        <w:pStyle w:val="FootnoteText"/>
        <w:rPr/>
      </w:pPr>
      <w:r>
        <w:rPr>
          <w:rStyle w:val="FootnoteCharacters"/>
        </w:rPr>
        <w:footnoteRef/>
      </w:r>
      <w:r>
        <w:rPr/>
        <w:t xml:space="preserve"> </w:t>
      </w:r>
      <w:r>
        <w:rPr>
          <w:u w:val="single"/>
        </w:rPr>
        <w:t>E.g.</w:t>
      </w:r>
      <w:r>
        <w:rPr/>
        <w:t>, SCGC Opening Brief, p. 14.</w:t>
      </w:r>
    </w:p>
  </w:footnote>
  <w:footnote w:id="97">
    <w:p>
      <w:pPr>
        <w:pStyle w:val="FootnoteText"/>
        <w:widowControl/>
        <w:rPr/>
      </w:pPr>
      <w:r>
        <w:rPr>
          <w:rStyle w:val="FootnoteCharacters"/>
        </w:rPr>
        <w:footnoteRef/>
      </w:r>
      <w:r>
        <w:rPr/>
        <w:t xml:space="preserve"> </w:t>
      </w:r>
      <w:r>
        <w:rPr/>
        <w:t>The Comprehensive Settlement Agreement is supported by the following customers or customer representatives or organizations:  California Cogeneration Council; California Industrial Group; California Manufacturers and Technology Association; California Utility Buyers; City of Vernon; Dynegy, Inc.; Indicated Producers, which consists of Amoco Energy Trading Corp., BP Amoco Corp., Burlington Resources, Chevron USA Inc., Conoco Inc., Texaco Natural Gas Inc., and Occidental Energy Marketing Inc.; Office of Ratepayer Advocates, REMAC, SPURR,  and Watson Cogeneration Company.</w:t>
      </w:r>
    </w:p>
  </w:footnote>
  <w:footnote w:id="98">
    <w:p>
      <w:pPr>
        <w:pStyle w:val="FootnoteText"/>
        <w:rPr/>
      </w:pPr>
      <w:r>
        <w:rPr>
          <w:rStyle w:val="FootnoteCharacters"/>
        </w:rPr>
        <w:footnoteRef/>
      </w:r>
      <w:r>
        <w:rPr/>
        <w:t xml:space="preserve"> </w:t>
      </w:r>
      <w:r>
        <w:rPr/>
        <w:t>TURN Opening Brief p. 24.</w:t>
      </w:r>
    </w:p>
  </w:footnote>
  <w:footnote w:id="99">
    <w:p>
      <w:pPr>
        <w:pStyle w:val="FootnoteText"/>
        <w:rPr/>
      </w:pPr>
      <w:r>
        <w:rPr>
          <w:rStyle w:val="FootnoteCharacters"/>
        </w:rPr>
        <w:footnoteRef/>
      </w:r>
      <w:r>
        <w:rPr/>
        <w:t xml:space="preserve"> </w:t>
      </w:r>
      <w:r>
        <w:rPr/>
        <w:t>Weil, Aglet, Tr. Vol. 2, pp. 122-126.</w:t>
      </w:r>
    </w:p>
  </w:footnote>
  <w:footnote w:id="100">
    <w:p>
      <w:pPr>
        <w:pStyle w:val="FootnoteText"/>
        <w:rPr/>
      </w:pPr>
      <w:r>
        <w:rPr>
          <w:rStyle w:val="FootnoteCharacters"/>
        </w:rPr>
        <w:footnoteRef/>
      </w:r>
      <w:r>
        <w:rPr/>
        <w:t xml:space="preserve"> </w:t>
      </w:r>
      <w:r>
        <w:rPr/>
        <w:t>IEG Opening Brief, p. ii.</w:t>
      </w:r>
    </w:p>
  </w:footnote>
  <w:footnote w:id="101">
    <w:p>
      <w:pPr>
        <w:pStyle w:val="FootnoteText"/>
        <w:rPr/>
      </w:pPr>
      <w:r>
        <w:rPr>
          <w:rStyle w:val="FootnoteCharacters"/>
        </w:rPr>
        <w:footnoteRef/>
      </w:r>
      <w:r>
        <w:rPr/>
        <w:t xml:space="preserve"> </w:t>
      </w:r>
      <w:r>
        <w:rPr/>
        <w:t>Dasovich, Enron, Ex. 15, p. 2.</w:t>
      </w:r>
    </w:p>
  </w:footnote>
  <w:footnote w:id="102">
    <w:p>
      <w:pPr>
        <w:pStyle w:val="FootnoteText"/>
        <w:rPr/>
      </w:pPr>
      <w:r>
        <w:rPr>
          <w:rStyle w:val="FootnoteCharacters"/>
        </w:rPr>
        <w:footnoteRef/>
      </w:r>
      <w:r>
        <w:rPr/>
        <w:t xml:space="preserve"> </w:t>
      </w:r>
      <w:r>
        <w:rPr/>
        <w:t>Amirault, WGSI, Ex. 9, p. 2.</w:t>
      </w:r>
    </w:p>
  </w:footnote>
  <w:footnote w:id="103">
    <w:p>
      <w:pPr>
        <w:pStyle w:val="FootnoteText"/>
        <w:rPr/>
      </w:pPr>
      <w:r>
        <w:rPr>
          <w:rStyle w:val="FootnoteCharacters"/>
        </w:rPr>
        <w:footnoteRef/>
      </w:r>
      <w:r>
        <w:rPr/>
        <w:t xml:space="preserve"> </w:t>
      </w:r>
      <w:r>
        <w:rPr/>
        <w:t>Pocta, ORA, Ex. 4, pp. 9-10, 16; ORA Opening Brief pp. 43-44 and 45-46.</w:t>
      </w:r>
    </w:p>
  </w:footnote>
  <w:footnote w:id="104">
    <w:p>
      <w:pPr>
        <w:pStyle w:val="FootnoteText"/>
        <w:rPr/>
      </w:pPr>
      <w:r>
        <w:rPr>
          <w:rStyle w:val="FootnoteCharacters"/>
        </w:rPr>
        <w:footnoteRef/>
      </w:r>
      <w:r>
        <w:rPr/>
        <w:t xml:space="preserve"> </w:t>
      </w:r>
      <w:r>
        <w:rPr/>
        <w:t>TURN Opening Brief, p. 24.</w:t>
      </w:r>
    </w:p>
  </w:footnote>
  <w:footnote w:id="105">
    <w:p>
      <w:pPr>
        <w:pStyle w:val="FootnoteText"/>
        <w:rPr/>
      </w:pPr>
      <w:r>
        <w:rPr>
          <w:rStyle w:val="FootnoteCharacters"/>
        </w:rPr>
        <w:footnoteRef/>
      </w:r>
      <w:r>
        <w:rPr/>
        <w:t xml:space="preserve"> </w:t>
      </w:r>
      <w:r>
        <w:rPr>
          <w:u w:val="single"/>
        </w:rPr>
        <w:t>Id</w:t>
      </w:r>
      <w:r>
        <w:rPr/>
        <w:t>. at p. 25.</w:t>
      </w:r>
    </w:p>
  </w:footnote>
  <w:footnote w:id="106">
    <w:p>
      <w:pPr>
        <w:pStyle w:val="FootnoteText"/>
        <w:rPr/>
      </w:pPr>
      <w:r>
        <w:rPr>
          <w:rStyle w:val="FootnoteCharacters"/>
        </w:rPr>
        <w:footnoteRef/>
      </w:r>
      <w:r>
        <w:rPr/>
        <w:t xml:space="preserve"> </w:t>
      </w:r>
      <w:r>
        <w:rPr/>
        <w:t>Fawcett, Transwestern, Ex. 12, p. 5, line 25 - p. 6, line 8; Beach, Indicated Electric Generators, Ex. 18, p. 2, lines 30-33; Lorenz, SoCalGas, Ext 2, p. 15, lines 6-25.</w:t>
      </w:r>
    </w:p>
  </w:footnote>
  <w:footnote w:id="107">
    <w:p>
      <w:pPr>
        <w:pStyle w:val="FootnoteText"/>
        <w:rPr/>
      </w:pPr>
      <w:r>
        <w:rPr>
          <w:rStyle w:val="FootnoteCharacters"/>
        </w:rPr>
        <w:footnoteRef/>
      </w:r>
      <w:r>
        <w:rPr/>
        <w:t xml:space="preserve"> </w:t>
      </w:r>
      <w:r>
        <w:rPr/>
        <w:t>TURN Opening Brief, p. 25.</w:t>
      </w:r>
    </w:p>
  </w:footnote>
  <w:footnote w:id="108">
    <w:p>
      <w:pPr>
        <w:pStyle w:val="FootnoteText"/>
        <w:rPr/>
      </w:pPr>
      <w:r>
        <w:rPr>
          <w:rStyle w:val="FootnoteCharacters"/>
        </w:rPr>
        <w:footnoteRef/>
      </w:r>
      <w:r>
        <w:rPr/>
        <w:t xml:space="preserve"> </w:t>
      </w:r>
      <w:r>
        <w:rPr/>
        <w:t>Beach, Indicated Electric Generators, Ex. 5, Fig. 1.</w:t>
      </w:r>
    </w:p>
  </w:footnote>
  <w:footnote w:id="109">
    <w:p>
      <w:pPr>
        <w:pStyle w:val="FootnoteText"/>
        <w:rPr/>
      </w:pPr>
      <w:r>
        <w:rPr>
          <w:rStyle w:val="FootnoteCharacters"/>
        </w:rPr>
        <w:footnoteRef/>
      </w:r>
      <w:r>
        <w:rPr/>
        <w:t xml:space="preserve"> </w:t>
      </w:r>
      <w:r>
        <w:rPr/>
        <w:t>Beach, Indicated Electric Generators, Ex. 5, p. 5, Ex. 18, p. 3.</w:t>
      </w:r>
    </w:p>
  </w:footnote>
  <w:footnote w:id="110">
    <w:p>
      <w:pPr>
        <w:pStyle w:val="FootnoteText"/>
        <w:rPr/>
      </w:pPr>
      <w:r>
        <w:rPr>
          <w:rStyle w:val="FootnoteCharacters"/>
        </w:rPr>
        <w:footnoteRef/>
      </w:r>
      <w:r>
        <w:rPr/>
        <w:t xml:space="preserve"> </w:t>
      </w:r>
      <w:r>
        <w:rPr/>
        <w:t>SoCalGas settled similar issues in earlier proceedings.</w:t>
      </w:r>
    </w:p>
  </w:footnote>
  <w:footnote w:id="111">
    <w:p>
      <w:pPr>
        <w:pStyle w:val="FootnoteText"/>
        <w:rPr/>
      </w:pPr>
      <w:r>
        <w:rPr>
          <w:rStyle w:val="FootnoteCharacters"/>
        </w:rPr>
        <w:footnoteRef/>
      </w:r>
      <w:r>
        <w:rPr/>
        <w:t xml:space="preserve"> </w:t>
      </w:r>
      <w:r>
        <w:rPr/>
        <w:t>TURN Opening Brief, pp. 26-27.</w:t>
      </w:r>
    </w:p>
  </w:footnote>
  <w:footnote w:id="112">
    <w:p>
      <w:pPr>
        <w:pStyle w:val="FootnoteText"/>
        <w:rPr/>
      </w:pPr>
      <w:r>
        <w:rPr>
          <w:rStyle w:val="FootnoteCharacters"/>
        </w:rPr>
        <w:footnoteRef/>
      </w:r>
      <w:r>
        <w:rPr/>
        <w:t xml:space="preserve"> </w:t>
      </w:r>
      <w:r>
        <w:rPr/>
        <w:t>TURN Opening Brief, p. 29.</w:t>
      </w:r>
    </w:p>
  </w:footnote>
  <w:footnote w:id="113">
    <w:p>
      <w:pPr>
        <w:pStyle w:val="FootnoteText"/>
        <w:rPr/>
      </w:pPr>
      <w:r>
        <w:rPr>
          <w:rStyle w:val="FootnoteCharacters"/>
        </w:rPr>
        <w:footnoteRef/>
      </w:r>
      <w:r>
        <w:rPr/>
        <w:t xml:space="preserve"> </w:t>
      </w:r>
      <w:r>
        <w:rPr/>
        <w:t xml:space="preserve">Pocta, ORA, Ex. 4, pp. 11-12. </w:t>
      </w:r>
    </w:p>
  </w:footnote>
  <w:footnote w:id="114">
    <w:p>
      <w:pPr>
        <w:pStyle w:val="FootnoteText"/>
        <w:rPr/>
      </w:pPr>
      <w:r>
        <w:rPr>
          <w:rStyle w:val="FootnoteCharacters"/>
        </w:rPr>
        <w:footnoteRef/>
      </w:r>
      <w:r>
        <w:rPr/>
        <w:t xml:space="preserve"> </w:t>
      </w:r>
      <w:r>
        <w:rPr>
          <w:u w:val="single"/>
        </w:rPr>
        <w:t>Id</w:t>
      </w:r>
      <w:r>
        <w:rPr/>
        <w:t>. at 9-10.</w:t>
      </w:r>
    </w:p>
  </w:footnote>
  <w:footnote w:id="115">
    <w:p>
      <w:pPr>
        <w:pStyle w:val="FootnoteText"/>
        <w:rPr/>
      </w:pPr>
      <w:r>
        <w:rPr>
          <w:rStyle w:val="FootnoteCharacters"/>
        </w:rPr>
        <w:footnoteRef/>
      </w:r>
      <w:r>
        <w:rPr/>
        <w:t xml:space="preserve"> </w:t>
      </w:r>
      <w:r>
        <w:rPr/>
        <w:t>See Ex. 25. In their Opening Brief, Enron and WGSI double counted the PG&amp;E intrastate capacity held by Glendale and Pasadena, thereby inflating the percentage of peak demand they purchased firm rights to meet.  (WGSI/Enron Opening Brief, p. 4.)  The correct percentages, as reflected by Ex. 25 are: Glendale 37.8% and Pasadena 37.5%.</w:t>
      </w:r>
    </w:p>
  </w:footnote>
  <w:footnote w:id="116">
    <w:p>
      <w:pPr>
        <w:pStyle w:val="FootnoteText"/>
        <w:rPr/>
      </w:pPr>
      <w:r>
        <w:rPr>
          <w:rStyle w:val="FootnoteCharacters"/>
        </w:rPr>
        <w:footnoteRef/>
      </w:r>
      <w:r>
        <w:rPr/>
        <w:t xml:space="preserve"> </w:t>
      </w:r>
      <w:r>
        <w:rPr/>
        <w:t>TURN Opening Brief, pp. 8-9.</w:t>
      </w:r>
    </w:p>
  </w:footnote>
  <w:footnote w:id="117">
    <w:p>
      <w:pPr>
        <w:pStyle w:val="FootnoteText"/>
        <w:rPr/>
      </w:pPr>
      <w:r>
        <w:rPr>
          <w:rStyle w:val="FootnoteCharacters"/>
        </w:rPr>
        <w:footnoteRef/>
      </w:r>
      <w:r>
        <w:rPr/>
        <w:t xml:space="preserve"> </w:t>
      </w:r>
      <w:r>
        <w:rPr/>
        <w:t>See WGSI/Enron Opening Brief, pp. 24-26.</w:t>
      </w:r>
    </w:p>
  </w:footnote>
  <w:footnote w:id="118">
    <w:p>
      <w:pPr>
        <w:pStyle w:val="FootnoteText"/>
        <w:rPr/>
      </w:pPr>
      <w:r>
        <w:rPr>
          <w:rStyle w:val="FootnoteCharacters"/>
        </w:rPr>
        <w:footnoteRef/>
      </w:r>
      <w:r>
        <w:rPr/>
        <w:t xml:space="preserve"> </w:t>
      </w:r>
      <w:r>
        <w:rPr/>
        <w:t>TURN Opening Brief, pp. 13-14.</w:t>
      </w:r>
    </w:p>
  </w:footnote>
  <w:footnote w:id="119">
    <w:p>
      <w:pPr>
        <w:pStyle w:val="FootnoteText"/>
        <w:rPr/>
      </w:pPr>
      <w:r>
        <w:rPr>
          <w:rStyle w:val="FootnoteCharacters"/>
        </w:rPr>
        <w:footnoteRef/>
      </w:r>
      <w:r>
        <w:rPr/>
        <w:t xml:space="preserve"> </w:t>
      </w:r>
      <w:r>
        <w:rPr>
          <w:u w:val="single"/>
        </w:rPr>
        <w:t>Id</w:t>
      </w:r>
      <w:r>
        <w:rPr/>
        <w:t>., p. 14.</w:t>
      </w:r>
    </w:p>
  </w:footnote>
  <w:footnote w:id="120">
    <w:p>
      <w:pPr>
        <w:pStyle w:val="FootnoteText"/>
        <w:rPr/>
      </w:pPr>
      <w:r>
        <w:rPr>
          <w:rStyle w:val="FootnoteCharacters"/>
        </w:rPr>
        <w:footnoteRef/>
      </w:r>
      <w:r>
        <w:rPr/>
        <w:t xml:space="preserve"> </w:t>
      </w:r>
      <w:r>
        <w:rPr/>
        <w:t>ORA Opening Brief, pp. 52-53.</w:t>
      </w:r>
    </w:p>
  </w:footnote>
  <w:footnote w:id="121">
    <w:p>
      <w:pPr>
        <w:pStyle w:val="FootnoteText"/>
        <w:rPr/>
      </w:pPr>
      <w:r>
        <w:rPr>
          <w:rStyle w:val="FootnoteCharacters"/>
        </w:rPr>
        <w:footnoteRef/>
      </w:r>
      <w:r>
        <w:rPr/>
        <w:t xml:space="preserve"> </w:t>
      </w:r>
      <w:r>
        <w:rPr/>
        <w:t>TURN Opening Brief, pp. 16-17.</w:t>
      </w:r>
    </w:p>
  </w:footnote>
  <w:footnote w:id="122">
    <w:p>
      <w:pPr>
        <w:pStyle w:val="FootnoteText"/>
        <w:rPr/>
      </w:pPr>
      <w:r>
        <w:rPr>
          <w:rStyle w:val="FootnoteCharacters"/>
        </w:rPr>
        <w:footnoteRef/>
      </w:r>
      <w:r>
        <w:rPr/>
        <w:t xml:space="preserve"> </w:t>
      </w:r>
      <w:r>
        <w:rPr>
          <w:u w:val="single"/>
        </w:rPr>
        <w:t>Id.</w:t>
      </w:r>
      <w:r>
        <w:rPr/>
        <w:t>, pp. 38-41.</w:t>
      </w:r>
    </w:p>
  </w:footnote>
  <w:footnote w:id="123">
    <w:p>
      <w:pPr>
        <w:pStyle w:val="FootnoteText"/>
        <w:rPr/>
      </w:pPr>
      <w:r>
        <w:rPr>
          <w:rStyle w:val="FootnoteCharacters"/>
        </w:rPr>
        <w:footnoteRef/>
      </w:r>
      <w:r>
        <w:rPr/>
        <w:t xml:space="preserve"> </w:t>
      </w:r>
      <w:r>
        <w:rPr>
          <w:u w:val="single"/>
        </w:rPr>
        <w:t>Id.</w:t>
      </w:r>
      <w:r>
        <w:rPr/>
        <w:t>, p. 41.</w:t>
      </w:r>
    </w:p>
  </w:footnote>
  <w:footnote w:id="124">
    <w:p>
      <w:pPr>
        <w:pStyle w:val="FootnoteText"/>
        <w:rPr/>
      </w:pPr>
      <w:r>
        <w:rPr>
          <w:rStyle w:val="FootnoteCharacters"/>
        </w:rPr>
        <w:footnoteRef/>
      </w:r>
      <w:r>
        <w:rPr/>
        <w:t xml:space="preserve"> </w:t>
      </w:r>
      <w:r>
        <w:rPr>
          <w:u w:val="single"/>
        </w:rPr>
        <w:t>Id.,</w:t>
      </w:r>
      <w:r>
        <w:rPr/>
        <w:t xml:space="preserve"> pp. 40-41.</w:t>
      </w:r>
    </w:p>
    <w:p>
      <w:pPr>
        <w:pStyle w:val="FootnoteText"/>
        <w:rPr/>
      </w:pPr>
      <w:r>
        <w:rPr/>
      </w:r>
    </w:p>
  </w:footnote>
  <w:footnote w:id="125">
    <w:p>
      <w:pPr>
        <w:pStyle w:val="FootnoteText"/>
        <w:rPr/>
      </w:pPr>
      <w:r>
        <w:rPr>
          <w:rStyle w:val="FootnoteCharacters"/>
        </w:rPr>
        <w:footnoteRef/>
      </w:r>
      <w:r>
        <w:rPr/>
        <w:t xml:space="preserve"> </w:t>
      </w:r>
      <w:r>
        <w:rPr>
          <w:u w:val="single"/>
        </w:rPr>
        <w:t>Id.</w:t>
      </w:r>
      <w:r>
        <w:rPr/>
        <w:t>, p. 39.</w:t>
      </w:r>
    </w:p>
  </w:footnote>
  <w:footnote w:id="126">
    <w:p>
      <w:pPr>
        <w:pStyle w:val="FootnoteText"/>
        <w:rPr/>
      </w:pPr>
      <w:r>
        <w:rPr>
          <w:rStyle w:val="FootnoteCharacters"/>
        </w:rPr>
        <w:footnoteRef/>
      </w:r>
      <w:r>
        <w:rPr/>
        <w:t xml:space="preserve"> </w:t>
      </w:r>
      <w:r>
        <w:rPr>
          <w:u w:val="single"/>
        </w:rPr>
        <w:t>Id.</w:t>
      </w:r>
      <w:r>
        <w:rPr/>
        <w:t>, pp. 43-45.</w:t>
      </w:r>
    </w:p>
  </w:footnote>
  <w:footnote w:id="127">
    <w:p>
      <w:pPr>
        <w:pStyle w:val="FootnoteText"/>
        <w:rPr/>
      </w:pPr>
      <w:r>
        <w:rPr>
          <w:rStyle w:val="FootnoteCharacters"/>
        </w:rPr>
        <w:footnoteRef/>
      </w:r>
      <w:r>
        <w:rPr/>
        <w:t xml:space="preserve"> </w:t>
      </w:r>
      <w:r>
        <w:rPr/>
        <w:t>WGSI/Enron Opening Brief, pp. 13-16.</w:t>
      </w:r>
    </w:p>
  </w:footnote>
  <w:footnote w:id="128">
    <w:p>
      <w:pPr>
        <w:pStyle w:val="FootnoteText"/>
        <w:rPr/>
      </w:pPr>
      <w:r>
        <w:rPr>
          <w:rStyle w:val="FootnoteCharacters"/>
        </w:rPr>
        <w:footnoteRef/>
      </w:r>
      <w:r>
        <w:rPr/>
        <w:t xml:space="preserve"> </w:t>
      </w:r>
      <w:r>
        <w:rPr/>
        <w:t>D.99-07-015, p. 138.</w:t>
      </w:r>
    </w:p>
    <w:p>
      <w:pPr>
        <w:pStyle w:val="FootnoteText"/>
        <w:rPr>
          <w:b/>
        </w:rPr>
      </w:pPr>
      <w:r>
        <w:rPr>
          <w:b/>
        </w:rPr>
      </w:r>
    </w:p>
  </w:footnote>
  <w:footnote w:id="129">
    <w:p>
      <w:pPr>
        <w:pStyle w:val="FootnoteText"/>
        <w:rPr/>
      </w:pPr>
      <w:r>
        <w:rPr>
          <w:rStyle w:val="FootnoteCharacters"/>
        </w:rPr>
        <w:footnoteRef/>
      </w:r>
      <w:r>
        <w:rPr/>
        <w:t xml:space="preserve"> </w:t>
      </w:r>
      <w:r>
        <w:rPr/>
        <w:t>TURN Opening Brief, p. 49.</w:t>
      </w:r>
    </w:p>
  </w:footnote>
  <w:footnote w:id="130">
    <w:p>
      <w:pPr>
        <w:pStyle w:val="FootnoteText"/>
        <w:rPr/>
      </w:pPr>
      <w:r>
        <w:rPr>
          <w:rStyle w:val="FootnoteCharacters"/>
        </w:rPr>
        <w:footnoteRef/>
      </w:r>
      <w:r>
        <w:rPr/>
        <w:t xml:space="preserve"> </w:t>
      </w:r>
      <w:r>
        <w:rPr>
          <w:u w:val="single"/>
        </w:rPr>
        <w:t>Id.</w:t>
      </w:r>
      <w:r>
        <w:rPr/>
        <w:t>, pp. 47-48.</w:t>
      </w:r>
    </w:p>
    <w:p>
      <w:pPr>
        <w:pStyle w:val="FootnoteText"/>
        <w:rPr/>
      </w:pPr>
      <w:r>
        <w:rPr/>
      </w:r>
    </w:p>
  </w:footnote>
  <w:footnote w:id="131">
    <w:p>
      <w:pPr>
        <w:pStyle w:val="FootnoteText"/>
        <w:rPr/>
      </w:pPr>
      <w:r>
        <w:rPr>
          <w:rStyle w:val="FootnoteCharacters"/>
        </w:rPr>
        <w:footnoteRef/>
      </w:r>
      <w:r>
        <w:rPr/>
        <w:t xml:space="preserve"> </w:t>
      </w:r>
      <w:r>
        <w:rPr>
          <w:u w:val="single"/>
        </w:rPr>
        <w:t>Id.</w:t>
      </w:r>
      <w:r>
        <w:rPr/>
        <w:t>, p. 48.</w:t>
      </w:r>
    </w:p>
  </w:footnote>
  <w:footnote w:id="132">
    <w:p>
      <w:pPr>
        <w:pStyle w:val="FootnoteText"/>
        <w:rPr/>
      </w:pPr>
      <w:r>
        <w:rPr>
          <w:rStyle w:val="FootnoteCharacters"/>
        </w:rPr>
        <w:footnoteRef/>
      </w:r>
      <w:r>
        <w:rPr/>
        <w:t xml:space="preserve"> </w:t>
      </w:r>
      <w:r>
        <w:rPr>
          <w:u w:val="single"/>
        </w:rPr>
        <w:t>Id.</w:t>
      </w:r>
      <w:r>
        <w:rPr/>
        <w:t>, p. 50.</w:t>
      </w:r>
    </w:p>
    <w:p>
      <w:pPr>
        <w:pStyle w:val="FootnoteText"/>
        <w:rPr/>
      </w:pPr>
      <w:r>
        <w:rPr/>
      </w:r>
    </w:p>
  </w:footnote>
  <w:footnote w:id="133">
    <w:p>
      <w:pPr>
        <w:pStyle w:val="FootnoteText"/>
        <w:rPr/>
      </w:pPr>
      <w:r>
        <w:rPr>
          <w:rStyle w:val="FootnoteCharacters"/>
        </w:rPr>
        <w:footnoteRef/>
      </w:r>
      <w:r>
        <w:rPr/>
        <w:t xml:space="preserve"> </w:t>
      </w:r>
      <w:r>
        <w:rPr>
          <w:u w:val="single"/>
        </w:rPr>
        <w:t>Id.</w:t>
      </w:r>
      <w:r>
        <w:rPr/>
        <w:t>, pp. 52-53.</w:t>
      </w:r>
    </w:p>
  </w:footnote>
  <w:footnote w:id="134">
    <w:p>
      <w:pPr>
        <w:pStyle w:val="FootnoteText"/>
        <w:rPr/>
      </w:pPr>
      <w:r>
        <w:rPr>
          <w:rStyle w:val="FootnoteCharacters"/>
        </w:rPr>
        <w:footnoteRef/>
      </w:r>
      <w:r>
        <w:rPr/>
        <w:t xml:space="preserve"> </w:t>
      </w:r>
      <w:r>
        <w:rPr>
          <w:u w:val="single"/>
        </w:rPr>
        <w:t>Id.</w:t>
      </w:r>
      <w:r>
        <w:rPr/>
        <w:t>, p. 53.</w:t>
      </w:r>
    </w:p>
  </w:footnote>
  <w:footnote w:id="135">
    <w:p>
      <w:pPr>
        <w:pStyle w:val="FootnoteText"/>
        <w:rPr/>
      </w:pPr>
      <w:r>
        <w:rPr>
          <w:rStyle w:val="FootnoteCharacters"/>
        </w:rPr>
        <w:footnoteRef/>
      </w:r>
      <w:r>
        <w:rPr/>
        <w:t xml:space="preserve"> </w:t>
      </w:r>
      <w:r>
        <w:rPr/>
        <w:t>Long Beach Opening Brief, Exec. Summary, p. 2.</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u w:val="single"/>
      </w:rPr>
    </w:pPr>
    <w:r>
      <w:rPr>
        <w:b/>
        <w:caps/>
        <w:u w:val="single"/>
      </w:rPr>
      <w:t>Table of Contents</w:t>
    </w:r>
  </w:p>
  <w:p>
    <w:pPr>
      <w:pStyle w:val="Normal"/>
      <w:tabs>
        <w:tab w:val="clear" w:pos="720"/>
        <w:tab w:val="center" w:pos="4680" w:leader="none"/>
        <w:tab w:val="right" w:pos="9360" w:leader="none"/>
      </w:tabs>
      <w:jc w:val="center"/>
      <w:rPr/>
    </w:pPr>
    <w:r>
      <w:rPr/>
      <w:t>(continued)</w:t>
    </w:r>
  </w:p>
  <w:p>
    <w:pPr>
      <w:pStyle w:val="Normal"/>
      <w:tabs>
        <w:tab w:val="clear" w:pos="720"/>
        <w:tab w:val="center" w:pos="4680" w:leader="none"/>
        <w:tab w:val="right" w:pos="9360" w:leader="none"/>
      </w:tabs>
      <w:spacing w:before="0" w:after="200"/>
      <w:jc w:val="end"/>
      <w:rPr>
        <w:u w:val="single"/>
      </w:rPr>
    </w:pPr>
    <w:r>
      <w:rPr>
        <w:u w:val="single"/>
      </w:rPr>
      <w:t>Page</w:t>
    </w:r>
  </w:p>
  <w:p>
    <w:pPr>
      <w:pStyle w:val="Header"/>
      <w:tabs>
        <w:tab w:val="clear" w:pos="4320"/>
        <w:tab w:val="center" w:pos="4680" w:leader="none"/>
        <w:tab w:val="right" w:pos="9360" w:leader="none"/>
      </w:tabs>
      <w:rPr>
        <w:u w:val="single"/>
      </w:rPr>
    </w:pPr>
    <w:r>
      <w:rPr>
        <w:u w:val="single"/>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u w:val="single"/>
      </w:rPr>
    </w:pPr>
    <w:r>
      <w:rPr>
        <w:b/>
        <w:caps/>
        <w:u w:val="single"/>
      </w:rPr>
      <w:t>Table of Contents</w:t>
    </w:r>
  </w:p>
  <w:p>
    <w:pPr>
      <w:pStyle w:val="Normal"/>
      <w:tabs>
        <w:tab w:val="clear" w:pos="720"/>
        <w:tab w:val="center" w:pos="4680" w:leader="none"/>
        <w:tab w:val="right" w:pos="9360" w:leader="none"/>
      </w:tabs>
      <w:jc w:val="center"/>
      <w:rPr>
        <w:u w:val="single"/>
      </w:rPr>
    </w:pPr>
    <w:r>
      <w:rPr>
        <w:u w:val="single"/>
      </w:rPr>
    </w:r>
  </w:p>
  <w:p>
    <w:pPr>
      <w:pStyle w:val="Normal"/>
      <w:tabs>
        <w:tab w:val="clear" w:pos="720"/>
        <w:tab w:val="center" w:pos="4680" w:leader="none"/>
        <w:tab w:val="right" w:pos="9360" w:leader="none"/>
      </w:tabs>
      <w:spacing w:before="0" w:after="200"/>
      <w:jc w:val="end"/>
      <w:rPr>
        <w:u w:val="single"/>
      </w:rPr>
    </w:pPr>
    <w:r>
      <w:rPr>
        <w:u w:val="single"/>
      </w:rPr>
      <w:t>Page</w:t>
    </w:r>
  </w:p>
  <w:p>
    <w:pPr>
      <w:pStyle w:val="Header"/>
      <w:tabs>
        <w:tab w:val="clear" w:pos="4320"/>
        <w:tab w:val="center" w:pos="4680" w:leader="none"/>
        <w:tab w:val="right" w:pos="9360" w:leader="none"/>
      </w:tabs>
      <w:rPr>
        <w:u w:val="single"/>
      </w:rPr>
    </w:pPr>
    <w:r>
      <w:rPr>
        <w:u w:val="single"/>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u w:val="single"/>
      </w:rPr>
    </w:pPr>
    <w:r>
      <w:rPr>
        <w:b/>
        <w:u w:val="single"/>
      </w:rPr>
      <w:t>TABLE OF AUTHORITIES</w:t>
    </w:r>
  </w:p>
  <w:p>
    <w:pPr>
      <w:pStyle w:val="Normal"/>
      <w:tabs>
        <w:tab w:val="clear" w:pos="720"/>
        <w:tab w:val="center" w:pos="4680" w:leader="none"/>
        <w:tab w:val="right" w:pos="9360" w:leader="none"/>
      </w:tabs>
      <w:jc w:val="center"/>
      <w:rPr/>
    </w:pPr>
    <w:r>
      <w:rPr/>
      <w:t>(continued)</w:t>
    </w:r>
  </w:p>
  <w:p>
    <w:pPr>
      <w:pStyle w:val="Normal"/>
      <w:tabs>
        <w:tab w:val="clear" w:pos="720"/>
        <w:tab w:val="center" w:pos="4680" w:leader="none"/>
        <w:tab w:val="right" w:pos="9360" w:leader="none"/>
      </w:tabs>
      <w:spacing w:before="0" w:after="200"/>
      <w:jc w:val="end"/>
      <w:rPr>
        <w:u w:val="single"/>
      </w:rPr>
    </w:pPr>
    <w:r>
      <w:rPr>
        <w:u w:val="single"/>
      </w:rPr>
      <w:t>Page(s)</w:t>
    </w:r>
  </w:p>
  <w:p>
    <w:pPr>
      <w:pStyle w:val="Header"/>
      <w:tabs>
        <w:tab w:val="clear" w:pos="4320"/>
        <w:tab w:val="center" w:pos="4680" w:leader="none"/>
        <w:tab w:val="right" w:pos="9360" w:leader="none"/>
      </w:tabs>
      <w:rPr>
        <w:u w:val="single"/>
      </w:rPr>
    </w:pPr>
    <w:r>
      <w:rPr>
        <w:u w:val="single"/>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u w:val="single"/>
      </w:rPr>
    </w:pPr>
    <w:bookmarkStart w:id="3" w:name="zzmpTOCHeader_Primary"/>
    <w:bookmarkEnd w:id="3"/>
    <w:r>
      <w:rPr>
        <w:b/>
        <w:u w:val="single"/>
      </w:rPr>
      <w:t>TABLE OF AUTHORITIES</w:t>
    </w:r>
  </w:p>
  <w:p>
    <w:pPr>
      <w:pStyle w:val="Normal"/>
      <w:tabs>
        <w:tab w:val="clear" w:pos="720"/>
        <w:tab w:val="center" w:pos="4680" w:leader="none"/>
        <w:tab w:val="right" w:pos="9360" w:leader="none"/>
      </w:tabs>
      <w:jc w:val="center"/>
      <w:rPr>
        <w:u w:val="single"/>
      </w:rPr>
    </w:pPr>
    <w:r>
      <w:rPr>
        <w:u w:val="single"/>
      </w:rPr>
    </w:r>
  </w:p>
  <w:p>
    <w:pPr>
      <w:pStyle w:val="Normal"/>
      <w:tabs>
        <w:tab w:val="clear" w:pos="720"/>
        <w:tab w:val="center" w:pos="4680" w:leader="none"/>
        <w:tab w:val="right" w:pos="9360" w:leader="none"/>
      </w:tabs>
      <w:spacing w:before="0" w:after="200"/>
      <w:jc w:val="end"/>
      <w:rPr>
        <w:u w:val="single"/>
      </w:rPr>
    </w:pPr>
    <w:r>
      <w:rPr>
        <w:u w:val="single"/>
      </w:rPr>
      <w:t>Page(s)</w:t>
    </w:r>
  </w:p>
  <w:p>
    <w:pPr>
      <w:pStyle w:val="Header"/>
      <w:tabs>
        <w:tab w:val="clear" w:pos="4320"/>
        <w:tab w:val="center" w:pos="4680" w:leader="none"/>
        <w:tab w:val="right" w:pos="9360" w:leader="none"/>
      </w:tabs>
      <w:rPr>
        <w:u w:val="single"/>
      </w:rPr>
    </w:pPr>
    <w:r>
      <w:rPr>
        <w:u w:val="single"/>
      </w:rPr>
    </w:r>
    <w:bookmarkStart w:id="4" w:name="zzmpTOCHeader_Primary"/>
    <w:bookmarkStart w:id="5" w:name="zzmpTOCHeader_Primary"/>
    <w:bookmarkEnd w:id="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cbxMaxLevel" w:val="3"/>
    <w:docVar w:name="cbxMinLevel" w:val="1"/>
    <w:docVar w:name="cbxTOCScheme" w:val="0"/>
    <w:docVar w:name="chkApplyManualFormatsToTOC" w:val="0"/>
    <w:docVar w:name="chkApplyTOCScheme" w:val="1"/>
    <w:docVar w:name="chkCopyTitle" w:val="False"/>
    <w:docVar w:name="chkIncludeCoverPage" w:val="True"/>
    <w:docVar w:name="chkIncludeFirmAddress" w:val="True"/>
    <w:docVar w:name="chkStyles" w:val="1"/>
    <w:docVar w:name="chkTCEntries" w:val="1"/>
    <w:docVar w:name="cmbAttyName" w:val="2017"/>
    <w:docVar w:name="cmbAttysFor" w:val="Respondent"/>
    <w:docVar w:name="cmbAuthorLists" w:val="-100"/>
    <w:docVar w:name="cmbCAttysFor" w:val="Appellant"/>
    <w:docVar w:name="cmbCrossActions" w:val="none"/>
    <w:docVar w:name="cmbDated" w:val="3"/>
    <w:docVar w:name="cmbDPartyTitle" w:val="Respondent"/>
    <w:docVar w:name="cmbOptBodyTextAlignment" w:val="0"/>
    <w:docVar w:name="cmbOptDated" w:val="2"/>
    <w:docVar w:name="cmbOptFonts" w:val="Times New Roman"/>
    <w:docVar w:name="cmbOptOffices" w:val="1"/>
    <w:docVar w:name="cmbOptSigType" w:val="Respectfully Submitted"/>
    <w:docVar w:name="cmbPPartyTitle" w:val="Appellant"/>
    <w:docVar w:name="cmbPrefLists" w:val="-100"/>
    <w:docVar w:name="cmbSetAuthorPref" w:val="2017"/>
    <w:docVar w:name="iTrailerType" w:val="1"/>
    <w:docVar w:name="lstAttyList" w:val="2017"/>
    <w:docVar w:name="lstCourts" w:val="Public Utilities Commission"/>
    <w:docVar w:name="lstSigType" w:val="PUC Signature"/>
    <w:docVar w:name="optCreateFrom" w:val="0"/>
    <w:docVar w:name="OtherCaptionItems" w:val="†"/>
    <w:docVar w:name="packedarray" w:val="Michael B. Day†2017"/>
    <w:docVar w:name="Restarted" w:val="True"/>
    <w:docVar w:name="tglUseFirmDefaults" w:val="False"/>
    <w:docVar w:name="txtAppealedFrom" w:val="San Francisco"/>
    <w:docVar w:name="txtAppealFrom" w:val="the Superior Court&#10;of California, City and County of"/>
    <w:docVar w:name="txtAttyName" w:val="Michael B. Day"/>
    <w:docVar w:name="txtAttysFor" w:val="Respondent"/>
    <w:docVar w:name="txtCaseNo" w:val="2nd Civil No. "/>
    <w:docVar w:name="txtCAttysFor" w:val="Appellant"/>
    <w:docVar w:name="txtDPartyTitle" w:val="Respondent"/>
    <w:docVar w:name="txtOptFirstLine" w:val="1"/>
    <w:docVar w:name="txtOptFSize" w:val="12"/>
    <w:docVar w:name="txtOptLeftMargin" w:val="1.5"/>
    <w:docVar w:name="txtOptRightMargin" w:val="1.5"/>
    <w:docVar w:name="txtOriginalCaseNo" w:val="Civil Case No. "/>
    <w:docVar w:name="txtPPTitle" w:val="Appellant"/>
    <w:docVar w:name="zzmpFixed_MacPacVersion" w:val="97"/>
    <w:docVar w:name="zzmpFixed_PleadingPaperType" w:val="PPNone"/>
    <w:docVar w:name="zzmpFixedDOC_ID" w:val="2715/016/X15164-2-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widowControl/>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spacing w:before="240" w:after="60"/>
      <w:outlineLvl w:val="3"/>
    </w:pPr>
    <w:rPr>
      <w:rFonts w:ascii="Arial" w:hAnsi="Arial" w:cs="Arial"/>
      <w:b/>
    </w:rPr>
  </w:style>
  <w:style w:type="paragraph" w:styleId="Heading5">
    <w:name w:val="heading 5"/>
    <w:basedOn w:val="Normal"/>
    <w:next w:val="Normal"/>
    <w:qFormat/>
    <w:pPr>
      <w:widowControl/>
      <w:numPr>
        <w:ilvl w:val="4"/>
        <w:numId w:val="1"/>
      </w:numPr>
      <w:spacing w:before="240" w:after="60"/>
      <w:outlineLvl w:val="4"/>
    </w:pPr>
    <w:rPr>
      <w:sz w:val="22"/>
    </w:rPr>
  </w:style>
  <w:style w:type="paragraph" w:styleId="Heading6">
    <w:name w:val="heading 6"/>
    <w:basedOn w:val="Normal"/>
    <w:next w:val="Normal"/>
    <w:qFormat/>
    <w:pPr>
      <w:widowControl/>
      <w:numPr>
        <w:ilvl w:val="5"/>
        <w:numId w:val="1"/>
      </w:numPr>
      <w:spacing w:before="240" w:after="60"/>
      <w:outlineLvl w:val="5"/>
    </w:pPr>
    <w:rPr>
      <w:i/>
      <w:sz w:val="22"/>
    </w:rPr>
  </w:style>
  <w:style w:type="paragraph" w:styleId="Heading7">
    <w:name w:val="heading 7"/>
    <w:basedOn w:val="Normal"/>
    <w:next w:val="Normal"/>
    <w:qFormat/>
    <w:pPr>
      <w:widowControl/>
      <w:numPr>
        <w:ilvl w:val="6"/>
        <w:numId w:val="1"/>
      </w:numPr>
      <w:spacing w:before="240" w:after="60"/>
      <w:outlineLvl w:val="6"/>
    </w:pPr>
    <w:rPr>
      <w:rFonts w:ascii="Arial" w:hAnsi="Arial" w:cs="Arial"/>
      <w:sz w:val="20"/>
    </w:rPr>
  </w:style>
  <w:style w:type="paragraph" w:styleId="Heading8">
    <w:name w:val="heading 8"/>
    <w:basedOn w:val="Normal"/>
    <w:next w:val="Normal"/>
    <w:qFormat/>
    <w:pPr>
      <w:widowControl/>
      <w:numPr>
        <w:ilvl w:val="7"/>
        <w:numId w:val="1"/>
      </w:numPr>
      <w:spacing w:before="240" w:after="60"/>
      <w:outlineLvl w:val="7"/>
    </w:pPr>
    <w:rPr>
      <w:rFonts w:ascii="Arial" w:hAnsi="Arial" w:cs="Arial"/>
      <w:i/>
      <w:sz w:val="20"/>
    </w:rPr>
  </w:style>
  <w:style w:type="paragraph" w:styleId="Heading9">
    <w:name w:val="heading 9"/>
    <w:basedOn w:val="Normal"/>
    <w:next w:val="Normal"/>
    <w:qFormat/>
    <w:pPr>
      <w:widowControl/>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u w:val="none"/>
    </w:rPr>
  </w:style>
  <w:style w:type="character" w:styleId="WW8Num11z1">
    <w:name w:val="WW8Num11z1"/>
    <w:qFormat/>
    <w:rPr>
      <w:rFonts w:ascii="Courier New" w:hAnsi="Courier New" w:cs="Courier New"/>
      <w:b/>
      <w:u w:val="none"/>
    </w:rPr>
  </w:style>
  <w:style w:type="character" w:styleId="WW8Num11z2">
    <w:name w:val="WW8Num11z2"/>
    <w:qFormat/>
    <w:rPr>
      <w:b w:val="false"/>
      <w:u w:val="none"/>
    </w:rPr>
  </w:style>
  <w:style w:type="character" w:styleId="WW8Num15z0">
    <w:name w:val="WW8Num15z0"/>
    <w:qFormat/>
    <w:rPr>
      <w:rFonts w:ascii="Wingdings" w:hAnsi="Wingdings" w:cs="Wingdings"/>
      <w:sz w:val="16"/>
    </w:rPr>
  </w:style>
  <w:style w:type="character" w:styleId="WW8Num16z0">
    <w:name w:val="WW8Num16z0"/>
    <w:qFormat/>
    <w:rPr>
      <w:rFonts w:ascii="Symbol" w:hAnsi="Symbol" w:cs="Symbol"/>
    </w:rPr>
  </w:style>
  <w:style w:type="character" w:styleId="WW8Num17z0">
    <w:name w:val="WW8Num17z0"/>
    <w:qFormat/>
    <w:rPr>
      <w:b/>
      <w:i w:val="false"/>
      <w:caps w:val="false"/>
      <w:smallCaps w:val="false"/>
      <w:strike w:val="false"/>
      <w:dstrike w:val="false"/>
      <w:shadow w:val="false"/>
      <w:vanish w:val="false"/>
      <w:color w:val="0000FF"/>
      <w:position w:val="0"/>
      <w:sz w:val="24"/>
      <w:u w:val="none"/>
      <w:vertAlign w:val="baseline"/>
    </w:rPr>
  </w:style>
  <w:style w:type="character" w:styleId="WW8Num17z2">
    <w:name w:val="WW8Num17z2"/>
    <w:qFormat/>
    <w:rPr>
      <w:b w:val="false"/>
      <w:i w:val="false"/>
      <w:caps w:val="false"/>
      <w:smallCaps w:val="false"/>
      <w:strike w:val="false"/>
      <w:dstrike w:val="false"/>
      <w:shadow w:val="false"/>
      <w:vanish w:val="false"/>
      <w:color w:val="0000FF"/>
      <w:position w:val="0"/>
      <w:sz w:val="24"/>
      <w:vertAlign w:val="baseline"/>
    </w:rPr>
  </w:style>
  <w:style w:type="character" w:styleId="WW8Num17z3">
    <w:name w:val="WW8Num17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17z4">
    <w:name w:val="WW8Num17z4"/>
    <w:qFormat/>
    <w:rPr>
      <w:caps w:val="false"/>
      <w:smallCaps w:val="false"/>
      <w:strike w:val="false"/>
      <w:dstrike w:val="false"/>
      <w:shadow w:val="false"/>
      <w:vanish w:val="false"/>
      <w:color w:val="0000FF"/>
      <w:position w:val="0"/>
      <w:sz w:val="24"/>
      <w:u w:val="none"/>
      <w:vertAlign w:val="baseline"/>
    </w:rPr>
  </w:style>
  <w:style w:type="character" w:styleId="WW8Num17z7">
    <w:name w:val="WW8Num17z7"/>
    <w:qFormat/>
    <w:rPr>
      <w:b w:val="false"/>
      <w:i w:val="false"/>
      <w:caps w:val="false"/>
      <w:smallCaps w:val="false"/>
      <w:strike w:val="false"/>
      <w:dstrike w:val="false"/>
      <w:shadow w:val="false"/>
      <w:vanish w:val="false"/>
      <w:color w:val="0000FF"/>
      <w:position w:val="0"/>
      <w:sz w:val="24"/>
      <w:u w:val="none"/>
      <w:vertAlign w:val="baseline"/>
    </w:rPr>
  </w:style>
  <w:style w:type="character" w:styleId="WW8Num18z0">
    <w:name w:val="WW8Num18z0"/>
    <w:qFormat/>
    <w:rPr>
      <w:rFonts w:ascii="Symbol" w:hAnsi="Symbol" w:cs="Symbol"/>
    </w:rPr>
  </w:style>
  <w:style w:type="character" w:styleId="WW8Num20z0">
    <w:name w:val="WW8Num20z0"/>
    <w:qFormat/>
    <w:rPr>
      <w:rFonts w:ascii="Wingdings" w:hAnsi="Wingdings" w:cs="Wingdings"/>
      <w:sz w:val="16"/>
    </w:rPr>
  </w:style>
  <w:style w:type="character" w:styleId="WW8Num21z0">
    <w:name w:val="WW8Num21z0"/>
    <w:qFormat/>
    <w:rPr>
      <w:b/>
      <w:i w:val="false"/>
      <w:caps w:val="false"/>
      <w:smallCaps w:val="false"/>
      <w:strike w:val="false"/>
      <w:dstrike w:val="false"/>
      <w:shadow w:val="false"/>
      <w:vanish w:val="false"/>
      <w:color w:val="0000FF"/>
      <w:position w:val="0"/>
      <w:sz w:val="24"/>
      <w:u w:val="none"/>
      <w:vertAlign w:val="baseline"/>
    </w:rPr>
  </w:style>
  <w:style w:type="character" w:styleId="WW8Num21z2">
    <w:name w:val="WW8Num21z2"/>
    <w:qFormat/>
    <w:rPr>
      <w:b w:val="false"/>
      <w:i w:val="false"/>
      <w:caps w:val="false"/>
      <w:smallCaps w:val="false"/>
      <w:strike w:val="false"/>
      <w:dstrike w:val="false"/>
      <w:shadow w:val="false"/>
      <w:vanish w:val="false"/>
      <w:color w:val="0000FF"/>
      <w:position w:val="0"/>
      <w:sz w:val="24"/>
      <w:vertAlign w:val="baseline"/>
    </w:rPr>
  </w:style>
  <w:style w:type="character" w:styleId="WW8Num21z3">
    <w:name w:val="WW8Num21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21z4">
    <w:name w:val="WW8Num21z4"/>
    <w:qFormat/>
    <w:rPr>
      <w:caps w:val="false"/>
      <w:smallCaps w:val="false"/>
      <w:strike w:val="false"/>
      <w:dstrike w:val="false"/>
      <w:shadow w:val="false"/>
      <w:vanish w:val="false"/>
      <w:color w:val="0000FF"/>
      <w:position w:val="0"/>
      <w:sz w:val="24"/>
      <w:u w:val="none"/>
      <w:vertAlign w:val="baseline"/>
    </w:rPr>
  </w:style>
  <w:style w:type="character" w:styleId="WW8Num21z7">
    <w:name w:val="WW8Num21z7"/>
    <w:qFormat/>
    <w:rPr>
      <w:b w:val="false"/>
      <w:i w:val="false"/>
      <w:caps w:val="false"/>
      <w:smallCaps w:val="false"/>
      <w:strike w:val="false"/>
      <w:dstrike w:val="false"/>
      <w:shadow w:val="false"/>
      <w:vanish w:val="false"/>
      <w:color w:val="0000FF"/>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360" w:leader="none"/>
      </w:tabs>
    </w:pPr>
    <w:rPr/>
  </w:style>
  <w:style w:type="paragraph" w:styleId="Header">
    <w:name w:val="header"/>
    <w:basedOn w:val="Normal"/>
    <w:pPr>
      <w:tabs>
        <w:tab w:val="clear" w:pos="720"/>
        <w:tab w:val="center" w:pos="4320" w:leader="none"/>
        <w:tab w:val="right" w:pos="9360" w:leader="none"/>
      </w:tabs>
    </w:pPr>
    <w:rPr/>
  </w:style>
  <w:style w:type="paragraph" w:styleId="Quote">
    <w:name w:val="Quote"/>
    <w:basedOn w:val="Normal"/>
    <w:next w:val="BodyTextContinued"/>
    <w:qFormat/>
    <w:pPr>
      <w:widowControl/>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before="0" w:after="240"/>
      <w:jc w:val="center"/>
    </w:pPr>
    <w:rPr/>
  </w:style>
  <w:style w:type="paragraph" w:styleId="EnvelopeAddress">
    <w:name w:val="envelope address"/>
    <w:basedOn w:val="Normal"/>
    <w:pPr/>
    <w:rPr/>
  </w:style>
  <w:style w:type="paragraph" w:styleId="FootnoteText">
    <w:name w:val="footnote text"/>
    <w:basedOn w:val="Normal"/>
    <w:pPr>
      <w:keepLines/>
    </w:pPr>
    <w:rPr/>
  </w:style>
  <w:style w:type="paragraph" w:styleId="HeaderNumbers">
    <w:name w:val="HeaderNumbers"/>
    <w:basedOn w:val="Normal"/>
    <w:qFormat/>
    <w:pPr>
      <w:spacing w:lineRule="exact" w:line="480" w:before="720" w:after="0"/>
      <w:ind w:hanging="0" w:start="0" w:end="144"/>
      <w:jc w:val="end"/>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5126" w:leader="none"/>
        <w:tab w:val="right" w:pos="9360" w:leader="none"/>
      </w:tabs>
      <w:ind w:hanging="0" w:start="3744" w:end="0"/>
    </w:pPr>
    <w:rPr/>
  </w:style>
  <w:style w:type="paragraph" w:styleId="TableofAuthorities">
    <w:name w:val="Table of Authorities"/>
    <w:basedOn w:val="Normal"/>
    <w:next w:val="Normal"/>
    <w:qFormat/>
    <w:pPr>
      <w:tabs>
        <w:tab w:val="clear" w:pos="720"/>
        <w:tab w:val="right" w:pos="9280" w:leader="dot"/>
      </w:tabs>
      <w:spacing w:before="0" w:after="240"/>
      <w:ind w:hanging="360" w:start="360" w:end="1440"/>
    </w:pPr>
    <w:rPr/>
  </w:style>
  <w:style w:type="paragraph" w:styleId="TOAHeading">
    <w:name w:val="TOA Heading"/>
    <w:basedOn w:val="Normal"/>
    <w:next w:val="TableofAuthorities"/>
    <w:qFormat/>
    <w:pPr>
      <w:keepNext w:val="true"/>
      <w:spacing w:before="240" w:after="240"/>
    </w:pPr>
    <w:rPr>
      <w:b/>
      <w:caps/>
      <w:u w:val="single"/>
    </w:rPr>
  </w:style>
  <w:style w:type="paragraph" w:styleId="TOC1">
    <w:name w:val="toc 1"/>
    <w:basedOn w:val="Normal"/>
    <w:next w:val="Normal"/>
    <w:pPr>
      <w:keepLines/>
      <w:widowControl/>
      <w:tabs>
        <w:tab w:val="clear" w:pos="720"/>
        <w:tab w:val="right" w:pos="9280" w:leader="dot"/>
      </w:tabs>
      <w:spacing w:before="0" w:after="120"/>
      <w:ind w:hanging="720" w:start="720" w:end="720"/>
    </w:pPr>
    <w:rPr/>
  </w:style>
  <w:style w:type="paragraph" w:styleId="TOC2">
    <w:name w:val="toc 2"/>
    <w:basedOn w:val="Normal"/>
    <w:next w:val="Normal"/>
    <w:pPr>
      <w:keepLines/>
      <w:widowControl/>
      <w:tabs>
        <w:tab w:val="clear" w:pos="720"/>
        <w:tab w:val="right" w:pos="9280" w:leader="dot"/>
      </w:tabs>
      <w:spacing w:before="0" w:after="120"/>
      <w:ind w:hanging="720" w:start="1440" w:end="720"/>
    </w:pPr>
    <w:rPr/>
  </w:style>
  <w:style w:type="paragraph" w:styleId="TOC3">
    <w:name w:val="toc 3"/>
    <w:basedOn w:val="Normal"/>
    <w:next w:val="Normal"/>
    <w:pPr>
      <w:keepLines/>
      <w:widowControl/>
      <w:tabs>
        <w:tab w:val="clear" w:pos="720"/>
        <w:tab w:val="right" w:pos="9280" w:leader="dot"/>
      </w:tabs>
      <w:spacing w:before="0" w:after="120"/>
      <w:ind w:hanging="720" w:start="2160" w:end="720"/>
    </w:pPr>
    <w:rPr/>
  </w:style>
  <w:style w:type="paragraph" w:styleId="TOC4">
    <w:name w:val="toc 4"/>
    <w:basedOn w:val="Normal"/>
    <w:next w:val="Normal"/>
    <w:pPr>
      <w:keepLines/>
      <w:widowControl/>
      <w:tabs>
        <w:tab w:val="clear" w:pos="720"/>
        <w:tab w:val="right" w:pos="9280" w:leader="dot"/>
      </w:tabs>
      <w:spacing w:before="0" w:after="120"/>
      <w:ind w:hanging="720" w:start="2880" w:end="720"/>
    </w:pPr>
    <w:rPr/>
  </w:style>
  <w:style w:type="paragraph" w:styleId="TOC5">
    <w:name w:val="toc 5"/>
    <w:basedOn w:val="Normal"/>
    <w:next w:val="Normal"/>
    <w:pPr>
      <w:keepLines/>
      <w:widowControl/>
      <w:tabs>
        <w:tab w:val="clear" w:pos="720"/>
        <w:tab w:val="right" w:pos="9280" w:leader="dot"/>
      </w:tabs>
      <w:spacing w:before="0" w:after="120"/>
      <w:ind w:hanging="720" w:start="3600" w:end="720"/>
    </w:pPr>
    <w:rPr/>
  </w:style>
  <w:style w:type="paragraph" w:styleId="TOC6">
    <w:name w:val="toc 6"/>
    <w:basedOn w:val="Normal"/>
    <w:next w:val="Normal"/>
    <w:pPr>
      <w:keepLines/>
      <w:widowControl/>
      <w:tabs>
        <w:tab w:val="clear" w:pos="720"/>
        <w:tab w:val="right" w:pos="9280" w:leader="dot"/>
      </w:tabs>
      <w:spacing w:before="0" w:after="120"/>
      <w:ind w:hanging="720" w:start="4320" w:end="720"/>
    </w:pPr>
    <w:rPr/>
  </w:style>
  <w:style w:type="paragraph" w:styleId="TOC7">
    <w:name w:val="toc 7"/>
    <w:basedOn w:val="Normal"/>
    <w:next w:val="Normal"/>
    <w:pPr>
      <w:keepLines/>
      <w:widowControl/>
      <w:tabs>
        <w:tab w:val="clear" w:pos="720"/>
        <w:tab w:val="right" w:pos="9280" w:leader="dot"/>
      </w:tabs>
      <w:spacing w:before="0" w:after="120"/>
      <w:ind w:hanging="720" w:start="5040" w:end="720"/>
    </w:pPr>
    <w:rPr/>
  </w:style>
  <w:style w:type="paragraph" w:styleId="TOC8">
    <w:name w:val="toc 8"/>
    <w:basedOn w:val="Normal"/>
    <w:next w:val="Normal"/>
    <w:pPr>
      <w:keepLines/>
      <w:widowControl/>
      <w:tabs>
        <w:tab w:val="clear" w:pos="720"/>
        <w:tab w:val="right" w:pos="9280" w:leader="dot"/>
      </w:tabs>
      <w:spacing w:before="0" w:after="120"/>
      <w:ind w:hanging="720" w:start="5760" w:end="720"/>
    </w:pPr>
    <w:rPr/>
  </w:style>
  <w:style w:type="paragraph" w:styleId="TOC9">
    <w:name w:val="toc 9"/>
    <w:basedOn w:val="Normal"/>
    <w:next w:val="Normal"/>
    <w:pPr>
      <w:keepLines/>
      <w:widowControl/>
      <w:tabs>
        <w:tab w:val="clear" w:pos="720"/>
        <w:tab w:val="right" w:pos="9280" w:leader="dot"/>
      </w:tabs>
      <w:spacing w:before="0" w:after="120"/>
      <w:ind w:hanging="720" w:start="6480" w:end="720"/>
    </w:pPr>
    <w:rPr/>
  </w:style>
  <w:style w:type="paragraph" w:styleId="CoverPage">
    <w:name w:val="CoverPage"/>
    <w:basedOn w:val="Normal"/>
    <w:qFormat/>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day@gmssr.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9.xml"/><Relationship Id="rId22" Type="http://schemas.openxmlformats.org/officeDocument/2006/relationships/footer" Target="footer10.xml"/><Relationship Id="rId23" Type="http://schemas.openxmlformats.org/officeDocument/2006/relationships/footnotes" Target="footnotes.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PUC-Appellate.dot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2000-07-31T19:51:00Z</dcterms:created>
  <dc:creator>Michael B. Day</dc:creator>
  <dc:description/>
  <dc:language>en-CA</dc:language>
  <cp:lastModifiedBy>Delores Sandefur</cp:lastModifiedBy>
  <cp:lastPrinted>2000-07-31T15:16:00Z</cp:lastPrinted>
  <dcterms:modified xsi:type="dcterms:W3CDTF">2000-07-31T19:51:00Z</dcterms:modified>
  <cp:revision>2</cp:revision>
  <dc:subject/>
  <dc:title/>
</cp:coreProperties>
</file>