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0" w:header="432" w:top="1440" w:footer="360" w:bottom="1440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rPr/>
      </w:pPr>
      <w:r>
        <w:rPr/>
      </w:r>
    </w:p>
    <w:p>
      <w:pPr>
        <w:pStyle w:val="TOC1"/>
        <w:rPr/>
      </w:pPr>
      <w:bookmarkStart w:id="0" w:name="mpTableOfContents"/>
      <w:bookmarkEnd w:id="0"/>
      <w:r>
        <w:rPr/>
        <w:t>I.</w:t>
        <w:tab/>
        <w:t>INTRODUCTION</w:t>
        <w:tab/>
        <w:t>1</w:t>
      </w:r>
    </w:p>
    <w:p>
      <w:pPr>
        <w:pStyle w:val="Normal"/>
        <w:rPr/>
      </w:pPr>
      <w:r>
        <w:rPr/>
      </w:r>
    </w:p>
    <w:p>
      <w:pPr>
        <w:pStyle w:val="TOC1"/>
        <w:spacing w:before="0" w:after="120"/>
        <w:rPr/>
      </w:pPr>
      <w:r>
        <w:rPr/>
        <w:t>II.</w:t>
        <w:tab/>
        <w:t>THE Comprehensive Settlement PROVIDES ALL CLASSES OF CUSTOMERS WITH SUBSTANTIAL BENEFITS AT A VERY LOW COST WHILE ACHIEVING A HIGH DEGREE OF STATEWIDE CONSISTENCY IN NATURAL GAS REGULATION.</w:t>
        <w:tab/>
        <w:t>2</w:t>
      </w:r>
    </w:p>
    <w:p>
      <w:pPr>
        <w:pStyle w:val="TOC2"/>
        <w:rPr/>
      </w:pPr>
      <w:r>
        <w:rPr/>
        <w:t>A.</w:t>
        <w:tab/>
        <w:t>Unbundling of Intrastate Transmission</w:t>
        <w:tab/>
        <w:t>3</w:t>
      </w:r>
    </w:p>
    <w:p>
      <w:pPr>
        <w:pStyle w:val="Normal"/>
        <w:rPr/>
      </w:pPr>
      <w:r>
        <w:rPr/>
      </w:r>
    </w:p>
    <w:p>
      <w:pPr>
        <w:pStyle w:val="TOC2"/>
        <w:rPr/>
      </w:pPr>
      <w:r>
        <w:rPr/>
        <w:t>B.</w:t>
        <w:tab/>
        <w:t>Unbundling of Storage</w:t>
        <w:tab/>
        <w:t>13</w:t>
      </w:r>
    </w:p>
    <w:p>
      <w:pPr>
        <w:pStyle w:val="Normal"/>
        <w:rPr/>
      </w:pPr>
      <w:r>
        <w:rPr/>
      </w:r>
    </w:p>
    <w:p>
      <w:pPr>
        <w:pStyle w:val="TOC2"/>
        <w:rPr/>
      </w:pPr>
      <w:r>
        <w:rPr/>
        <w:t>C.</w:t>
        <w:tab/>
        <w:t>Unbundling of Balancing</w:t>
        <w:tab/>
        <w:t>16</w:t>
      </w:r>
    </w:p>
    <w:p>
      <w:pPr>
        <w:pStyle w:val="Normal"/>
        <w:rPr/>
      </w:pPr>
      <w:r>
        <w:rPr/>
      </w:r>
    </w:p>
    <w:p>
      <w:pPr>
        <w:pStyle w:val="TOC2"/>
        <w:rPr/>
      </w:pPr>
      <w:r>
        <w:rPr/>
        <w:t>D.</w:t>
        <w:tab/>
        <w:t>Enhanced Imbalance Trading</w:t>
        <w:tab/>
        <w:t>18</w:t>
      </w:r>
    </w:p>
    <w:p>
      <w:pPr>
        <w:pStyle w:val="Normal"/>
        <w:rPr/>
      </w:pPr>
      <w:r>
        <w:rPr/>
      </w:r>
    </w:p>
    <w:p>
      <w:pPr>
        <w:pStyle w:val="TOC2"/>
        <w:rPr/>
      </w:pPr>
      <w:r>
        <w:rPr/>
        <w:t>E.</w:t>
        <w:tab/>
        <w:t>Unbundling of Interstate Transmission Capacity</w:t>
        <w:tab/>
        <w:t>19</w:t>
      </w:r>
    </w:p>
    <w:p>
      <w:pPr>
        <w:pStyle w:val="Normal"/>
        <w:rPr/>
      </w:pPr>
      <w:r>
        <w:rPr/>
      </w:r>
    </w:p>
    <w:p>
      <w:pPr>
        <w:pStyle w:val="TOC2"/>
        <w:rPr/>
      </w:pPr>
      <w:r>
        <w:rPr/>
        <w:t>F.</w:t>
        <w:tab/>
        <w:t>Comparison of Costs and Benefits of the Comprehensive Settlement Agreement</w:t>
        <w:tab/>
        <w:t>20</w:t>
      </w:r>
    </w:p>
    <w:p>
      <w:pPr>
        <w:pStyle w:val="Normal"/>
        <w:rPr/>
      </w:pPr>
      <w:r>
        <w:rPr/>
      </w:r>
    </w:p>
    <w:p>
      <w:pPr>
        <w:pStyle w:val="TOC2"/>
        <w:spacing w:before="0" w:after="120"/>
        <w:rPr/>
      </w:pPr>
      <w:r>
        <w:rPr/>
        <w:t>H.</w:t>
        <w:tab/>
        <w:t>Implementation Process</w:t>
        <w:tab/>
        <w:t>26</w:t>
      </w:r>
    </w:p>
    <w:p>
      <w:pPr>
        <w:pStyle w:val="Normal"/>
        <w:rPr/>
      </w:pPr>
      <w:r>
        <w:rPr/>
        <w:t>`</w:t>
      </w:r>
    </w:p>
    <w:p>
      <w:pPr>
        <w:pStyle w:val="TOC1"/>
        <w:rPr/>
      </w:pPr>
      <w:r>
        <w:rPr/>
        <w:t>iii.</w:t>
        <w:tab/>
        <w:t xml:space="preserve">the interim/post-interim settlement is premised on fundamental misperceptions of the california gas market,  AND does not advance the public interest. </w:t>
        <w:tab/>
        <w:t>27</w:t>
      </w:r>
    </w:p>
    <w:p>
      <w:pPr>
        <w:pStyle w:val="Normal"/>
        <w:rPr/>
      </w:pPr>
      <w:r>
        <w:rPr/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w="12240" w:h="15840"/>
          <w:pgMar w:left="1440" w:right="1440" w:gutter="0" w:header="1080" w:top="1440" w:footer="720" w:bottom="1440"/>
          <w:pgNumType w:start="1" w:fmt="lowerRoman"/>
          <w:formProt w:val="false"/>
          <w:titlePg/>
          <w:textDirection w:val="lrTb"/>
          <w:docGrid w:type="default" w:linePitch="360" w:charSpace="0"/>
        </w:sectPr>
        <w:pStyle w:val="TOC1"/>
        <w:rPr/>
      </w:pPr>
      <w:r>
        <w:rPr/>
        <w:t>IV.</w:t>
        <w:tab/>
        <w:t>THE COMMISSION SHOULD APPROVE THE COMPREHENSIVE SETTLEMENT AS THE CAPSTONE OF ITS SUBSTANTIAL ACCOMPLISHMENTS IN THE RESTRUCTURING OF THE CALIFORNIA NATURAL GAS INDUSTRY.</w:t>
        <w:tab/>
        <w:t>31</w:t>
      </w:r>
    </w:p>
    <w:p>
      <w:pPr>
        <w:pStyle w:val="Normal"/>
        <w:rPr/>
      </w:pPr>
      <w:r>
        <w:rPr/>
      </w:r>
      <w:bookmarkStart w:id="1" w:name="mpTableOfContents"/>
      <w:bookmarkStart w:id="2" w:name="mpTableOfContents"/>
      <w:bookmarkEnd w:id="2"/>
    </w:p>
    <w:p>
      <w:pPr>
        <w:pStyle w:val="Normal"/>
        <w:spacing w:lineRule="exact" w:line="200" w:before="240" w:after="0"/>
        <w:rPr/>
      </w:pPr>
      <w:r>
        <w:rPr>
          <w:rStyle w:val="zzmpTrailerItem"/>
        </w:rPr>
        <w:t>2715/016/X14787-1</w:t>
      </w:r>
      <w:r>
        <w:rPr/>
        <w:t xml:space="preserve"> </w:t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4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265"/>
      <w:gridCol w:w="810"/>
      <w:gridCol w:w="4265"/>
    </w:tblGrid>
    <w:tr>
      <w:trPr/>
      <w:tc>
        <w:tcPr>
          <w:tcW w:w="4265" w:type="dxa"/>
          <w:tcBorders/>
        </w:tcPr>
        <w:p>
          <w:pPr>
            <w:pStyle w:val="Footer"/>
            <w:snapToGrid w:val="false"/>
            <w:ind w:start="-86" w:end="0"/>
            <w:rPr/>
          </w:pPr>
          <w:r>
            <w:rPr/>
          </w:r>
        </w:p>
      </w:tc>
      <w:tc>
        <w:tcPr>
          <w:tcW w:w="810" w:type="dxa"/>
          <w:tcBorders/>
        </w:tcPr>
        <w:p>
          <w:pPr>
            <w:pStyle w:val="Footer"/>
            <w:spacing w:before="240" w:after="0"/>
            <w:ind w:start="-86" w:end="0"/>
            <w:jc w:val="end"/>
            <w:rPr/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265" w:type="dxa"/>
          <w:tcBorders/>
        </w:tcPr>
        <w:p>
          <w:pPr>
            <w:pStyle w:val="Footer"/>
            <w:tabs>
              <w:tab w:val="center" w:pos="4320" w:leader="none"/>
              <w:tab w:val="right" w:pos="5014" w:leader="none"/>
              <w:tab w:val="right" w:pos="9360" w:leader="none"/>
            </w:tabs>
            <w:snapToGrid w:val="false"/>
            <w:ind w:start="259" w:end="0"/>
            <w:jc w:val="end"/>
            <w:rPr>
              <w:rStyle w:val="PageNumber"/>
              <w:sz w:val="20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4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265"/>
      <w:gridCol w:w="810"/>
      <w:gridCol w:w="4265"/>
    </w:tblGrid>
    <w:tr>
      <w:trPr/>
      <w:tc>
        <w:tcPr>
          <w:tcW w:w="4265" w:type="dxa"/>
          <w:tcBorders/>
        </w:tcPr>
        <w:p>
          <w:pPr>
            <w:pStyle w:val="Footer"/>
            <w:snapToGrid w:val="false"/>
            <w:ind w:start="-86" w:end="0"/>
            <w:rPr/>
          </w:pPr>
          <w:r>
            <w:rPr/>
          </w:r>
        </w:p>
      </w:tc>
      <w:tc>
        <w:tcPr>
          <w:tcW w:w="810" w:type="dxa"/>
          <w:tcBorders/>
        </w:tcPr>
        <w:p>
          <w:pPr>
            <w:pStyle w:val="Footer"/>
            <w:spacing w:before="240" w:after="0"/>
            <w:ind w:start="-86" w:end="0"/>
            <w:jc w:val="end"/>
            <w:rPr/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265" w:type="dxa"/>
          <w:tcBorders/>
        </w:tcPr>
        <w:p>
          <w:pPr>
            <w:pStyle w:val="Footer"/>
            <w:tabs>
              <w:tab w:val="center" w:pos="4320" w:leader="none"/>
              <w:tab w:val="right" w:pos="5014" w:leader="none"/>
              <w:tab w:val="right" w:pos="9360" w:leader="none"/>
            </w:tabs>
            <w:snapToGrid w:val="false"/>
            <w:ind w:start="259" w:end="0"/>
            <w:jc w:val="end"/>
            <w:rPr>
              <w:rStyle w:val="PageNumber"/>
              <w:sz w:val="20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00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146"/>
      <w:gridCol w:w="1008"/>
      <w:gridCol w:w="4146"/>
    </w:tblGrid>
    <w:tr>
      <w:trPr/>
      <w:tc>
        <w:tcPr>
          <w:tcW w:w="4146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1008" w:type="dxa"/>
          <w:tcBorders/>
        </w:tcPr>
        <w:p>
          <w:pPr>
            <w:pStyle w:val="Footer"/>
            <w:jc w:val="center"/>
            <w:rPr/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146" w:type="dxa"/>
          <w:tcBorders/>
        </w:tcPr>
        <w:p>
          <w:pPr>
            <w:pStyle w:val="Footer"/>
            <w:snapToGrid w:val="false"/>
            <w:rPr>
              <w:rStyle w:val="PageNumber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00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146"/>
      <w:gridCol w:w="1008"/>
      <w:gridCol w:w="4146"/>
    </w:tblGrid>
    <w:tr>
      <w:trPr/>
      <w:tc>
        <w:tcPr>
          <w:tcW w:w="4146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1008" w:type="dxa"/>
          <w:tcBorders/>
        </w:tcPr>
        <w:p>
          <w:pPr>
            <w:pStyle w:val="Footer"/>
            <w:jc w:val="center"/>
            <w:rPr/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i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146" w:type="dxa"/>
          <w:tcBorders/>
        </w:tcPr>
        <w:p>
          <w:pPr>
            <w:pStyle w:val="Footer"/>
            <w:snapToGrid w:val="false"/>
            <w:rPr>
              <w:rStyle w:val="PageNumber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00" w:type="dxa"/>
      <w:jc w:val="center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146"/>
      <w:gridCol w:w="1008"/>
      <w:gridCol w:w="4146"/>
    </w:tblGrid>
    <w:tr>
      <w:trPr/>
      <w:tc>
        <w:tcPr>
          <w:tcW w:w="4146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  <w:tc>
        <w:tcPr>
          <w:tcW w:w="1008" w:type="dxa"/>
          <w:tcBorders/>
        </w:tcPr>
        <w:p>
          <w:pPr>
            <w:pStyle w:val="Footer"/>
            <w:jc w:val="center"/>
            <w:rPr/>
          </w:pPr>
          <w:r>
            <w:rPr>
              <w:rStyle w:val="PageNumber"/>
            </w:rPr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146" w:type="dxa"/>
          <w:tcBorders/>
        </w:tcPr>
        <w:p>
          <w:pPr>
            <w:pStyle w:val="Footer"/>
            <w:snapToGrid w:val="false"/>
            <w:rPr>
              <w:rStyle w:val="PageNumber"/>
            </w:rPr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enter" w:pos="4680" w:leader="none"/>
        <w:tab w:val="right" w:pos="9360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u w:val="single"/>
      </w:rPr>
    </w:pPr>
    <w:r>
      <w:rPr>
        <w:b/>
        <w:caps/>
        <w:u w:val="single"/>
      </w:rPr>
      <w:t>Table of Contents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/>
      <w:t>(continued)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before="0" w:after="200"/>
      <w:jc w:val="end"/>
      <w:rPr>
        <w:u w:val="single"/>
      </w:rPr>
    </w:pPr>
    <w:r>
      <w:rPr>
        <w:u w:val="single"/>
      </w:rPr>
      <w:t>Page</w:t>
    </w:r>
  </w:p>
  <w:p>
    <w:pPr>
      <w:pStyle w:val="Header"/>
      <w:tabs>
        <w:tab w:val="clear" w:pos="4320"/>
        <w:tab w:val="center" w:pos="4680" w:leader="none"/>
        <w:tab w:val="right" w:pos="9360" w:leader="none"/>
      </w:tabs>
      <w:rPr>
        <w:u w:val="single"/>
      </w:rPr>
    </w:pPr>
    <w:r>
      <w:rPr>
        <w:u w:val="singl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u w:val="single"/>
      </w:rPr>
    </w:pPr>
    <w:r>
      <w:rPr>
        <w:b/>
        <w:caps/>
        <w:u w:val="single"/>
      </w:rPr>
      <w:t>Table of Contents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u w:val="single"/>
      </w:rPr>
    </w:pPr>
    <w:r>
      <w:rPr>
        <w:u w:val="single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before="0" w:after="200"/>
      <w:jc w:val="end"/>
      <w:rPr>
        <w:u w:val="single"/>
      </w:rPr>
    </w:pPr>
    <w:r>
      <w:rPr>
        <w:u w:val="single"/>
      </w:rPr>
      <w:t>Page</w:t>
    </w:r>
  </w:p>
  <w:p>
    <w:pPr>
      <w:pStyle w:val="Header"/>
      <w:tabs>
        <w:tab w:val="clear" w:pos="4320"/>
        <w:tab w:val="center" w:pos="4680" w:leader="none"/>
        <w:tab w:val="right" w:pos="9360" w:leader="none"/>
      </w:tabs>
      <w:rPr>
        <w:u w:val="single"/>
      </w:rPr>
    </w:pPr>
    <w:r>
      <w:rPr>
        <w:u w:val="single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b/>
        <w:caps/>
        <w:u w:val="single"/>
      </w:rPr>
    </w:pPr>
    <w:r>
      <w:rPr>
        <w:b/>
        <w:caps/>
        <w:u w:val="single"/>
      </w:rPr>
      <w:t>Table of Contents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/>
    </w:pPr>
    <w:r>
      <w:rPr/>
      <w:t>(continued)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before="0" w:after="200"/>
      <w:jc w:val="end"/>
      <w:rPr>
        <w:u w:val="single"/>
      </w:rPr>
    </w:pPr>
    <w:r>
      <w:rPr>
        <w:u w:val="single"/>
      </w:rPr>
      <w:t>Page</w:t>
    </w:r>
  </w:p>
  <w:p>
    <w:pPr>
      <w:pStyle w:val="Header"/>
      <w:tabs>
        <w:tab w:val="clear" w:pos="4320"/>
        <w:tab w:val="center" w:pos="4680" w:leader="none"/>
        <w:tab w:val="right" w:pos="9360" w:leader="none"/>
      </w:tabs>
      <w:rPr>
        <w:u w:val="single"/>
      </w:rPr>
    </w:pPr>
    <w:r>
      <w:rPr>
        <w:u w:val="single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iTrailerType" w:val="1"/>
    <w:docVar w:name="zzmpFixed_MacPacVersion" w:val="97"/>
    <w:docVar w:name="zzmpFixedDOC_ID" w:val="2715/016/X14787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color w:val="auto"/>
      <w:spacing w:val="0"/>
      <w:position w:val="0"/>
      <w:sz w:val="16"/>
      <w:sz w:val="16"/>
      <w:u w:val="none"/>
      <w:effect w:val="blinkBackground"/>
      <w:vertAlign w:val="baseline"/>
      <w:lang w:val="en-CA" w:eastAsia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9360" w:leader="none"/>
      </w:tabs>
    </w:pPr>
    <w:rPr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9360" w:leader="none"/>
      </w:tabs>
    </w:pPr>
    <w:rPr>
      <w:sz w:val="24"/>
    </w:rPr>
  </w:style>
  <w:style w:type="paragraph" w:styleId="TOC1">
    <w:name w:val="toc 1"/>
    <w:basedOn w:val="Normal"/>
    <w:next w:val="Normal"/>
    <w:pPr>
      <w:keepLines/>
      <w:tabs>
        <w:tab w:val="clear" w:pos="720"/>
        <w:tab w:val="right" w:pos="9280" w:leader="dot"/>
      </w:tabs>
      <w:ind w:hanging="720" w:start="720" w:end="720"/>
    </w:pPr>
    <w:rPr>
      <w:caps/>
      <w:sz w:val="24"/>
    </w:rPr>
  </w:style>
  <w:style w:type="paragraph" w:styleId="TOC2">
    <w:name w:val="toc 2"/>
    <w:basedOn w:val="Normal"/>
    <w:next w:val="Normal"/>
    <w:pPr>
      <w:keepLines/>
      <w:tabs>
        <w:tab w:val="clear" w:pos="720"/>
        <w:tab w:val="right" w:pos="9280" w:leader="dot"/>
      </w:tabs>
      <w:ind w:hanging="720" w:start="1440" w:end="720"/>
    </w:pPr>
    <w:rPr>
      <w:caps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2000-07-10T22:01:00Z</dcterms:created>
  <dc:creator>Delores Sandefur</dc:creator>
  <dc:description/>
  <dc:language>en-CA</dc:language>
  <cp:lastModifiedBy>Delores Sandefur</cp:lastModifiedBy>
  <dcterms:modified xsi:type="dcterms:W3CDTF">2000-07-10T22:01:00Z</dcterms:modified>
  <cp:revision>3</cp:revision>
  <dc:subject/>
  <dc:title/>
</cp:coreProperties>
</file>