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480" w:before="0" w:after="720"/>
        <w:jc w:val="center"/>
        <w:rPr/>
      </w:pPr>
      <w:r>
        <w:rPr/>
        <w:t>BEFORE THE PUBLIC UTILITIES COMMISSION</w:t>
        <w:br/>
        <w:t>OF THE STATE OF CALIFORNIA</w:t>
      </w:r>
    </w:p>
    <w:tbl>
      <w:tblPr>
        <w:tblW w:w="9072" w:type="dxa"/>
        <w:jc w:val="start"/>
        <w:tblInd w:w="0" w:type="dxa"/>
        <w:tblLayout w:type="fixed"/>
        <w:tblCellMar>
          <w:top w:w="0" w:type="dxa"/>
          <w:start w:w="108" w:type="dxa"/>
          <w:bottom w:w="0" w:type="dxa"/>
          <w:end w:w="108" w:type="dxa"/>
        </w:tblCellMar>
      </w:tblPr>
      <w:tblGrid>
        <w:gridCol w:w="5688"/>
        <w:gridCol w:w="3384"/>
      </w:tblGrid>
      <w:tr>
        <w:trPr/>
        <w:tc>
          <w:tcPr>
            <w:tcW w:w="5688" w:type="dxa"/>
            <w:tcBorders>
              <w:end w:val="single" w:sz="6" w:space="0" w:color="000000"/>
            </w:tcBorders>
          </w:tcPr>
          <w:p>
            <w:pPr>
              <w:pStyle w:val="Normal"/>
              <w:spacing w:before="0" w:after="240"/>
              <w:rPr/>
            </w:pPr>
            <w:r>
              <w:rPr/>
              <w:t>Investigation on the Commission’s Own Motion to Consider the Costs and Benefits of Various Promising Revisions to the Regulatory and Market Structure Governing California’s Natural Gas Industry and to Report to the California Legislature on the Commission’s Findings.</w:t>
            </w:r>
          </w:p>
          <w:p>
            <w:pPr>
              <w:pStyle w:val="Normal"/>
              <w:rPr/>
            </w:pPr>
            <w:r>
              <w:rPr/>
            </w:r>
          </w:p>
        </w:tc>
        <w:tc>
          <w:tcPr>
            <w:tcW w:w="3384" w:type="dxa"/>
            <w:tcBorders/>
          </w:tcPr>
          <w:p>
            <w:pPr>
              <w:pStyle w:val="Normal"/>
              <w:tabs>
                <w:tab w:val="clear" w:pos="720"/>
                <w:tab w:val="left" w:pos="1872" w:leader="none"/>
              </w:tabs>
              <w:snapToGrid w:val="false"/>
              <w:jc w:val="center"/>
              <w:rPr/>
            </w:pPr>
            <w:r>
              <w:rPr/>
            </w:r>
          </w:p>
          <w:p>
            <w:pPr>
              <w:pStyle w:val="Normal"/>
              <w:tabs>
                <w:tab w:val="clear" w:pos="720"/>
                <w:tab w:val="left" w:pos="1872" w:leader="none"/>
              </w:tabs>
              <w:rPr/>
            </w:pPr>
            <w:r>
              <w:rPr/>
              <w:t xml:space="preserve">              </w:t>
            </w:r>
            <w:r>
              <w:rPr/>
              <w:t>I.99-07-003</w:t>
            </w:r>
          </w:p>
        </w:tc>
      </w:tr>
    </w:tbl>
    <w:p>
      <w:pPr>
        <w:pStyle w:val="Normal"/>
        <w:rPr/>
      </w:pPr>
      <w:r>
        <w:rPr/>
      </w:r>
    </w:p>
    <w:p>
      <w:pPr>
        <w:pStyle w:val="Normal"/>
        <w:rPr/>
      </w:pPr>
      <w:r>
        <w:rPr/>
      </w:r>
    </w:p>
    <w:p>
      <w:pPr>
        <w:pStyle w:val="Normal"/>
        <w:rPr/>
      </w:pPr>
      <w:r>
        <w:rPr/>
      </w:r>
    </w:p>
    <w:p>
      <w:pPr>
        <w:pStyle w:val="Normal"/>
        <w:rPr/>
      </w:pPr>
      <w:r>
        <w:rPr/>
      </w:r>
    </w:p>
    <w:p>
      <w:pPr>
        <w:pStyle w:val="BodyText"/>
        <w:numPr>
          <w:ilvl w:val="0"/>
          <w:numId w:val="0"/>
        </w:numPr>
        <w:ind w:firstLine="1440" w:start="0"/>
        <w:jc w:val="center"/>
        <w:outlineLvl w:val="0"/>
        <w:rPr>
          <w:b/>
        </w:rPr>
      </w:pPr>
      <w:r>
        <w:rPr>
          <w:b/>
        </w:rPr>
        <w:t xml:space="preserve">OPENING BRIEF OF WILD GOOSE STORAGE INC., </w:t>
      </w:r>
    </w:p>
    <w:p>
      <w:pPr>
        <w:pStyle w:val="BodyText"/>
        <w:jc w:val="center"/>
        <w:rPr>
          <w:b/>
        </w:rPr>
      </w:pPr>
      <w:r>
        <w:rPr>
          <w:b/>
        </w:rPr>
        <w:t>ENRON NORTH AMERICA, AND ENRON ENERGY SERVICES, INC.</w:t>
      </w:r>
    </w:p>
    <w:p>
      <w:pPr>
        <w:pStyle w:val="BodyText"/>
        <w:jc w:val="center"/>
        <w:rPr>
          <w:b/>
        </w:rPr>
      </w:pPr>
      <w:r>
        <w:rPr>
          <w:b/>
        </w:rPr>
      </w:r>
    </w:p>
    <w:p>
      <w:pPr>
        <w:pStyle w:val="BodyText"/>
        <w:ind w:hanging="0" w:end="0"/>
        <w:jc w:val="center"/>
        <w:rPr>
          <w:b/>
        </w:rPr>
      </w:pPr>
      <w:r>
        <w:rPr>
          <w:b/>
        </w:rPr>
        <w:t>EXECUTIVE SUMMARY</w:t>
      </w:r>
    </w:p>
    <w:p>
      <w:pPr>
        <w:pStyle w:val="BodyText"/>
        <w:spacing w:lineRule="auto" w:line="480"/>
        <w:ind w:hanging="0" w:end="0"/>
        <w:rPr/>
      </w:pPr>
      <w:r>
        <w:rPr/>
        <w:tab/>
        <w:tab/>
        <w:t>Enron North America Corp., Enron Energy Services, Inc. (collectively “Enron”), and Wild Goose Storage Inc. (“WGSI”) fully support the Comprehensive Settlement Agreement offered in this proceeding.  There are many compelling reasons why the Commission should approve the Comprehensive Settlement Agreement.  However, Enron and WGSI would direct the attention of the Commission to these five reasons in particular.</w:t>
      </w:r>
    </w:p>
    <w:p>
      <w:pPr>
        <w:pStyle w:val="BodyText"/>
        <w:spacing w:lineRule="auto" w:line="480"/>
        <w:ind w:firstLine="720" w:end="0"/>
        <w:rPr/>
      </w:pPr>
      <w:r>
        <w:rPr/>
        <w:t>1.</w:t>
        <w:tab/>
        <w:t xml:space="preserve">The settlement negotiations which lead to the Comprehensive Settlement Agreement (“CSA”) were open to all parties.  No one, including those few parties opposing the settlement, were excluded.  After months of intense negotiations, 33 parties joined the settlement.  It is rare enough for a settlement before the Commission to have so many parties in support.  Yet in this instance, that degree of support is even more impressive because the settling parties include representatives of every segment of the California gas industry, including residential and small consumers, large commercial and industrial customers, natural gas and oil producers, natural gas and electric marketers, electric generators, natural gas distribution utilities, electric utilities, municipal utilities, interstate pipelines, and independent gas storage providers.  The CSA is the only settlement before the Commission which can claim such a broad range of support.  </w:t>
      </w:r>
    </w:p>
    <w:p>
      <w:pPr>
        <w:pStyle w:val="BodyText"/>
        <w:spacing w:lineRule="auto" w:line="480"/>
        <w:ind w:firstLine="720" w:end="0"/>
        <w:rPr/>
      </w:pPr>
      <w:r>
        <w:rPr/>
        <w:t>2.</w:t>
        <w:tab/>
        <w:t>The CSA will not only produce lower prices for natural gas service in California, it will put significant downward pressure on California electric rates as well.   The CSA will directly result in more efficient, liquid markets for natural gas and for the transportation capacity, storage and balancing services needed to provide customers with reliable service.  In particular the creation of a citygate market for gas in Southern California will provide customers with the ability to purchase gas at the lowest available price.  Low gas prices are directly translatable into lower electric prices in California.  Prominent electric generators and electric power marketers support the CSA because it will provide generators with increased flexibility to manage their intrastate transmission capacity and storage and balancing so as to minimize their fuel costs—which is a critical factor in the highly competitive electric market in this state.</w:t>
      </w:r>
    </w:p>
    <w:p>
      <w:pPr>
        <w:pStyle w:val="BodyText"/>
        <w:spacing w:lineRule="auto" w:line="480"/>
        <w:ind w:firstLine="720" w:end="0"/>
        <w:rPr/>
      </w:pPr>
      <w:r>
        <w:rPr/>
        <w:t>3.</w:t>
        <w:tab/>
        <w:t xml:space="preserve">The CSA implements the vast majority of the Promising Options adopted by the Commission in D.99-07-015, thereby achieving significant reform in almost every facet of the natural gas industry.  Equally importantly, each of these new reforms are addressed in a manner which is consistent with, if not identical to, the same changes made on the Pacific Gas &amp; Electric Company system, thereby achieving yet another of the Commission’s goals, Statewide Consistency in regulation.  This is a very significant achievement in the eyes of Enron and WGSI, who like many parties to this proceeding, will provide service to customers in both utilities’ service territories.  The existence of a single framework of capacity rights, allocation procedures, secondary markets, and capacity trading mechanisms is a very real benefit to buyers, sellers, and customers in California.  It will reduce the cost of doing business in California, and in particular, will reduce the transaction costs required to serve California customers, thereby encouraging more market participants.  More competition means more savings for customers.  The fact that so many parties from so many segments of the gas industry support the same basic regulatory framework that the Commission approved for Northern California should give great comfort to the Commission that it is on the right track.   The marketplace approves of and appreciates the course the Commission is taking. </w:t>
      </w:r>
    </w:p>
    <w:p>
      <w:pPr>
        <w:pStyle w:val="BodyText"/>
        <w:spacing w:lineRule="auto" w:line="480"/>
        <w:ind w:firstLine="720" w:end="0"/>
        <w:rPr/>
      </w:pPr>
      <w:r>
        <w:rPr/>
        <w:t>4.</w:t>
        <w:tab/>
        <w:t>Implementing a major change in the basic regulatory framework of the energy industry is always challenging.   The Commission can take great comfort in the fact that the CSA is structured in such a way as to allow the transition to be both fair to all customers and relatively inexpensive.  The parties who crafted the CSA knew that it had to be fair to all customer classes to be acceptable.  It was a central principle of the negotiations that there be no significant cost shifts between customer classes, other than one specific change negotiated by the parties: a reduction in ITCS costs paid by the core, as part of the unbundling of core interstate capacity.  The change from long run marginal cost pricing of transmission and storage to embedded cost pricing is accomplished without shifting costs, and the unbundling of capacity rights is accomplished in such a way that all customer classes can obtain the benefits at the same time, and with the expenditure of very modest implementation costs.</w:t>
      </w:r>
    </w:p>
    <w:p>
      <w:pPr>
        <w:pStyle w:val="BodyText"/>
        <w:spacing w:lineRule="auto" w:line="480"/>
        <w:ind w:firstLine="720" w:end="0"/>
        <w:rPr/>
      </w:pPr>
      <w:r>
        <w:rPr/>
        <w:t>5.</w:t>
        <w:tab/>
        <w:t xml:space="preserve">A key concern of the Commission in restructuring cases is: what is the effect on the residential customer class?  The proponents of the CSA understood clearly that there had to be value for the core customers in any settlement that would be adopted by the Commission.  The CSA does contain substantial value for core customers, and for that reason, it is strongly supported by the Office of Ratepayer Advocates.  Core customers will see direct reductions in the costs allocated to them, particularly because the core will stop contributing to traditional stranded capacity costs (known as ITCS).  In addition, the core obtains improved, firmer capacity rights on the intrastate system, and can further reduce its costs by marketing storage, transmission rights, or balancing positions in the secondary markets established as part of the CSA.  In many instances the core will be well positioned in to offer the market both gas and transportation capacity.  Simply put, there are choices, opportunities and significant benefits for core customers in the CSA. </w:t>
      </w:r>
    </w:p>
    <w:p>
      <w:pPr>
        <w:pStyle w:val="BodyText"/>
        <w:spacing w:lineRule="auto" w:line="480" w:before="0" w:after="240"/>
        <w:ind w:firstLine="720" w:end="0"/>
        <w:rPr/>
      </w:pPr>
      <w:r>
        <w:rPr/>
        <w:t>The Commission can, with its approval of the CSA, complete the basic restructuring of the California gas market that started in the mid-1980s when both the Commission and the FERC began to promote open access gas transportation.  The basic structure of an unbundled, open access interstate transmission system and an unregulated commodity market has worked very well for the gas industry in North America.  By bringing the same framework to the intrastate gas systems in both Northern and Southern California, the Commission will provide California gas consumers with the same benefits, like citygate markets for gas, that customers in other states have taken advantage of for years.   To achieve this goal in a comprehensive settlement with enormously broad industry support is a tremendous accomplishment, and one which would not have taken place but for the Commission’s determination to press the parties to try to settle their significant differences over issues which had bedeviled the industry for over a decade.   The Commission can be justly proud of the result in this proceeding—a Comprehensive Settlement Agreement that will benefits all of California's natural gas and electric customers and thattherefore merits the Commission's prompt approval.</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3" w:fmt="lowerRoman"/>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vi</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iii</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85"/>
  <w:revisionView w:insDel="0" w:formatting="0"/>
  <w:defaultTabStop w:val="720"/>
  <w:autoHyphenation w:val="true"/>
  <w:hyphenationZone w:val="0"/>
  <w:compat>
    <w:doNotExpandShiftReturn/>
    <w:compatSetting w:name="compatibilityMode" w:uri="http://schemas.microsoft.com/office/word" w:val="11"/>
  </w:compat>
  <w:docVars>
    <w:docVar w:name="bWasHeadingSet" w:val="False"/>
    <w:docVar w:name="iTrailerType" w:val="2"/>
    <w:docVar w:name="zzmpFixed_MacPacVersion" w:val="97"/>
    <w:docVar w:name="zzmpFixedDOC_ID" w:val="2715/016/X14771-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720" w:end="0"/>
    </w:pPr>
    <w:rPr/>
  </w:style>
  <w:style w:type="paragraph" w:styleId="LHFirmName">
    <w:name w:val="LH Firm Name"/>
    <w:basedOn w:val="Normal"/>
    <w:qFormat/>
    <w:pPr/>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spacing w:lineRule="exact" w:line="240" w:before="0" w:after="120"/>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u w:val="single"/>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spacing w:before="0" w:after="240"/>
      <w:ind w:hanging="0" w:start="1440" w:end="1440"/>
    </w:pPr>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spacing w:lineRule="auto" w:line="480"/>
      <w:ind w:firstLine="1440" w:start="0" w:end="0"/>
    </w:pPr>
    <w:rPr/>
  </w:style>
  <w:style w:type="paragraph" w:styleId="BodyText3">
    <w:name w:val="Body Text 3"/>
    <w:basedOn w:val="Normal"/>
    <w:qFormat/>
    <w:pPr>
      <w:spacing w:before="0" w:after="240"/>
      <w:ind w:hanging="720" w:start="720" w:end="0"/>
    </w:pPr>
    <w:rPr/>
  </w:style>
  <w:style w:type="paragraph" w:styleId="ListBullet">
    <w:name w:val="List Bullet"/>
    <w:basedOn w:val="Normal"/>
    <w:qFormat/>
    <w:pPr>
      <w:numPr>
        <w:ilvl w:val="0"/>
        <w:numId w:val="2"/>
      </w:numPr>
      <w:tabs>
        <w:tab w:val="left" w:pos="720" w:leader="none"/>
      </w:tabs>
      <w:spacing w:before="0" w:after="240"/>
      <w:ind w:hanging="720" w:start="144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2000-07-10T21:17:00Z</dcterms:created>
  <dc:creator>Michael B. Day</dc:creator>
  <dc:description/>
  <dc:language>en-CA</dc:language>
  <cp:lastModifiedBy>Delores Sandefur</cp:lastModifiedBy>
  <cp:lastPrinted>2000-07-10T16:21:00Z</cp:lastPrinted>
  <dcterms:modified xsi:type="dcterms:W3CDTF">2000-07-10T21:17:00Z</dcterms:modified>
  <cp:revision>2</cp:revision>
  <dc:subject/>
  <dc:title>BEFORE THE PUBLIC UTILITIES COMMISSION</dc:title>
</cp:coreProperties>
</file>