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spacing w:before="0" w:after="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I.99-07-003</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
        <w:numPr>
          <w:ilvl w:val="0"/>
          <w:numId w:val="0"/>
        </w:numPr>
        <w:ind w:firstLine="1440" w:start="0"/>
        <w:jc w:val="center"/>
        <w:outlineLvl w:val="0"/>
        <w:rPr>
          <w:b/>
        </w:rPr>
      </w:pPr>
      <w:r>
        <w:rPr>
          <w:b/>
        </w:rPr>
        <w:t xml:space="preserve">OPENING BRIEF OF WILD GOOSE STORAGE INC., </w:t>
      </w:r>
    </w:p>
    <w:p>
      <w:pPr>
        <w:pStyle w:val="BodyText"/>
        <w:numPr>
          <w:ilvl w:val="0"/>
          <w:numId w:val="0"/>
        </w:numPr>
        <w:ind w:firstLine="1440" w:start="0"/>
        <w:jc w:val="center"/>
        <w:outlineLvl w:val="0"/>
        <w:rPr>
          <w:b/>
        </w:rPr>
      </w:pPr>
      <w:r>
        <w:rPr>
          <w:b/>
        </w:rPr>
        <w:t>ENRON NORTH AMERICA, AND ENRON ENERGY SERVICES, INC.</w:t>
      </w:r>
    </w:p>
    <w:p>
      <w:pPr>
        <w:pStyle w:val="BodyText"/>
        <w:numPr>
          <w:ilvl w:val="0"/>
          <w:numId w:val="0"/>
        </w:numPr>
        <w:ind w:firstLine="1440" w:start="0"/>
        <w:jc w:val="center"/>
        <w:outlineLvl w:val="0"/>
        <w:rPr>
          <w:b/>
        </w:rPr>
      </w:pPr>
      <w:r>
        <w:rPr>
          <w:b/>
        </w:rPr>
      </w:r>
    </w:p>
    <w:p>
      <w:pPr>
        <w:pStyle w:val="BodyText"/>
        <w:numPr>
          <w:ilvl w:val="0"/>
          <w:numId w:val="0"/>
        </w:numPr>
        <w:ind w:firstLine="1440" w:start="0"/>
        <w:jc w:val="center"/>
        <w:outlineLvl w:val="0"/>
        <w:rPr>
          <w:b/>
        </w:rPr>
      </w:pPr>
      <w:r>
        <w:rPr>
          <w:b/>
        </w:rPr>
      </w:r>
    </w:p>
    <w:p>
      <w:pPr>
        <w:pStyle w:val="BodyText"/>
        <w:numPr>
          <w:ilvl w:val="0"/>
          <w:numId w:val="0"/>
        </w:numPr>
        <w:ind w:firstLine="1440" w:start="0"/>
        <w:jc w:val="center"/>
        <w:outlineLvl w:val="0"/>
        <w:rPr>
          <w:b/>
        </w:rPr>
      </w:pPr>
      <w:r>
        <w:rPr>
          <w:b/>
        </w:rPr>
      </w:r>
    </w:p>
    <w:p>
      <w:pPr>
        <w:pStyle w:val="BodyText"/>
        <w:numPr>
          <w:ilvl w:val="0"/>
          <w:numId w:val="0"/>
        </w:numPr>
        <w:ind w:firstLine="1440" w:start="0"/>
        <w:jc w:val="center"/>
        <w:outlineLvl w:val="0"/>
        <w:rPr>
          <w:b/>
        </w:rPr>
      </w:pPr>
      <w:r>
        <w:rPr>
          <w:b/>
        </w:rPr>
      </w:r>
    </w:p>
    <w:p>
      <w:pPr>
        <w:pStyle w:val="Normal"/>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t>Date:  July 10, 2000</w:t>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505 Sansome Street, Suite 900</w:t>
              <w:br/>
              <w:t>San Francisco, CA  94111</w:t>
              <w:br/>
              <w:t>Telephone:</w:t>
              <w:tab/>
              <w:t>(415) 392-7900</w:t>
              <w:br/>
              <w:t>Facsimile:</w:t>
              <w:tab/>
              <w:t>(415) 398-4321</w:t>
            </w:r>
          </w:p>
          <w:p>
            <w:pPr>
              <w:pStyle w:val="Normal"/>
              <w:rPr/>
            </w:pPr>
            <w:hyperlink r:id="rId2">
              <w:r>
                <w:rPr>
                  <w:rStyle w:val="Hyperlink"/>
                </w:rPr>
                <w:t>mday@gmssr.com</w:t>
              </w:r>
            </w:hyperlink>
          </w:p>
          <w:p>
            <w:pPr>
              <w:pStyle w:val="Normal"/>
              <w:spacing w:before="240" w:after="0"/>
              <w:rPr/>
            </w:pPr>
            <w:r>
              <w:rPr/>
              <w:t>Attorneys for Wild Goose Storage Inc., Enron North America, and Enron Energy Services, Inc.</w:t>
            </w:r>
          </w:p>
        </w:tc>
      </w:tr>
    </w:tbl>
    <w:p>
      <w:pPr>
        <w:sectPr>
          <w:headerReference w:type="default" r:id="rId3"/>
          <w:headerReference w:type="first" r:id="rId4"/>
          <w:type w:val="nextPage"/>
          <w:pgSz w:w="12240" w:h="15840"/>
          <w:pgMar w:left="1440" w:right="1440" w:gutter="0" w:header="432" w:top="1440" w:footer="0" w:bottom="1440"/>
          <w:pgNumType w:fmt="decimal"/>
          <w:formProt w:val="false"/>
          <w:titlePg/>
          <w:textDirection w:val="lrTb"/>
          <w:docGrid w:type="default" w:linePitch="360" w:charSpace="0"/>
        </w:sectPr>
      </w:pPr>
    </w:p>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end w:val="single" w:sz="6" w:space="0" w:color="000000"/>
            </w:tcBorders>
          </w:tcPr>
          <w:p>
            <w:pPr>
              <w:pStyle w:val="Normal"/>
              <w:spacing w:before="0" w:after="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I.99-07-003</w:t>
            </w:r>
          </w:p>
        </w:tc>
      </w:tr>
    </w:tbl>
    <w:p>
      <w:pPr>
        <w:pStyle w:val="Normal"/>
        <w:rPr/>
      </w:pPr>
      <w:r>
        <w:rPr/>
      </w:r>
    </w:p>
    <w:p>
      <w:pPr>
        <w:pStyle w:val="Normal"/>
        <w:rPr/>
      </w:pPr>
      <w:r>
        <w:rPr/>
      </w:r>
    </w:p>
    <w:p>
      <w:pPr>
        <w:pStyle w:val="Normal"/>
        <w:rPr/>
      </w:pPr>
      <w:r>
        <w:rPr/>
      </w:r>
    </w:p>
    <w:p>
      <w:pPr>
        <w:pStyle w:val="Normal"/>
        <w:rPr/>
      </w:pPr>
      <w:r>
        <w:rPr/>
      </w:r>
    </w:p>
    <w:p>
      <w:pPr>
        <w:pStyle w:val="BodyText"/>
        <w:numPr>
          <w:ilvl w:val="0"/>
          <w:numId w:val="0"/>
        </w:numPr>
        <w:ind w:firstLine="1440" w:start="0"/>
        <w:jc w:val="center"/>
        <w:outlineLvl w:val="0"/>
        <w:rPr>
          <w:b/>
        </w:rPr>
      </w:pPr>
      <w:r>
        <w:rPr>
          <w:b/>
        </w:rPr>
        <w:t xml:space="preserve">OPENING BRIEF OF WILD GOOSE STORAGE INC., </w:t>
      </w:r>
    </w:p>
    <w:p>
      <w:pPr>
        <w:pStyle w:val="BodyText"/>
        <w:jc w:val="center"/>
        <w:rPr>
          <w:b/>
        </w:rPr>
      </w:pPr>
      <w:r>
        <w:rPr>
          <w:b/>
        </w:rPr>
        <w:t>ENRON NORTH AMERICA, AND ENRON ENERGY SERVICES, INC.</w:t>
      </w:r>
    </w:p>
    <w:p>
      <w:pPr>
        <w:pStyle w:val="BodyText"/>
        <w:jc w:val="center"/>
        <w:rPr>
          <w:b/>
        </w:rPr>
      </w:pPr>
      <w:r>
        <w:rPr>
          <w:b/>
        </w:rPr>
      </w:r>
    </w:p>
    <w:p>
      <w:pPr>
        <w:pStyle w:val="BodyText"/>
        <w:ind w:hanging="0" w:end="0"/>
        <w:rPr>
          <w:b/>
        </w:rPr>
      </w:pPr>
      <w:r>
        <w:rPr>
          <w:b/>
        </w:rPr>
        <w:t>I.</w:t>
        <w:tab/>
        <w:t>INTRODUCTION</w:t>
      </w:r>
    </w:p>
    <w:p>
      <w:pPr>
        <w:pStyle w:val="BodyText"/>
        <w:ind w:hanging="0" w:end="0"/>
        <w:rPr/>
      </w:pPr>
      <w:r>
        <w:rPr/>
        <w:tab/>
        <w:tab/>
        <w:t>Enron North America Corp., Enron Energy Services, Inc. (collectively “Enron”), and Wild Goose Storage Inc. (“WGSI”) fully support the Comprehensive Settlement Agreement offered in this proceeding by 33 parties representing every segment of the California gas industry, including residential and small consumers, large commercial and industrial customers, natural gas and oil producers, natural gas and electric marketers, electric generators, natural gas distribution utilities, electric utilities, municipal utilities, interstate pipelines, and independent gas storage providers.  This is the only settlement before the Commission which can claim such a broad range of support.  The presentation of this settlement to the Commission is a significant event in the evolution of natural gas regulation in California.  It completes the basic restructuring of the monopoly gas utility systems which existed prior to federal initiatives to open the interstate pipeline network to competition.  Completing this transition to a market where all customers had access to the same sort of competitive choices which had proven so successful on the interstate level was a primary goal, or Promising Option, of the Commission.  To achieve this goal in a comprehensive settlement with enormously broad industry support is a tremendous accomplishment, and one which would not have taken place but for the Commission’s determination to press the parties to try to settle their significant differences over issues which had bedeviled the industry for over a decade.</w:t>
      </w:r>
    </w:p>
    <w:p>
      <w:pPr>
        <w:pStyle w:val="BodyText"/>
        <w:ind w:hanging="0" w:end="0"/>
        <w:rPr/>
      </w:pPr>
      <w:r>
        <w:rPr/>
        <w:tab/>
        <w:tab/>
        <w:t>Moreover, the Comprehensive Settlement Agreement (“CSA”) achieves these significant changes with a minimum of “pain” for customers.  This is because the CSA is premised on a balancing of ratepayer interests which is rare in such settlements.  It fundamentally alters current ratemaking without causing any significant cost shifts between customers, and by providing the means to offer customers substantially more attractive service options at lower prices while keeping implementation costs to a minimum.</w:t>
        <w:tab/>
      </w:r>
    </w:p>
    <w:p>
      <w:pPr>
        <w:pStyle w:val="BodyText"/>
        <w:ind w:hanging="0" w:end="0"/>
        <w:rPr/>
      </w:pPr>
      <w:r>
        <w:rPr/>
        <w:tab/>
        <w:tab/>
        <w:t>Enron and WGSI support all of the provisions of the CSA, including the provisions which enhance the ability of Core Aggregation Transporters (“CATs”) to offer retail service to customers.  However, Enron and WGSI will focus this brief on the provisions of the CSA which address the unbundling of interstate transmission, intrastate transmission, storage capacity, and balancing services, referred to in this proceeding as the “Capacity Issues”.</w:t>
      </w:r>
    </w:p>
    <w:p>
      <w:pPr>
        <w:pStyle w:val="BodyText"/>
        <w:ind w:hanging="0" w:end="0"/>
        <w:rPr/>
      </w:pPr>
      <w:r>
        <w:rPr/>
      </w:r>
    </w:p>
    <w:p>
      <w:pPr>
        <w:pStyle w:val="BodyText"/>
        <w:spacing w:lineRule="auto" w:line="240"/>
        <w:ind w:hanging="720" w:start="720" w:end="0"/>
        <w:rPr>
          <w:b/>
          <w:caps/>
        </w:rPr>
      </w:pPr>
      <w:r>
        <w:rPr>
          <w:b/>
          <w:caps/>
        </w:rPr>
        <w:t>II.</w:t>
        <w:tab/>
        <w:t>THE Comprehensive Settlement PROVIDES ALL CLASSES OF CUSTOMERS WITH SUBSTANTIAL BENEFITS AT A VERY LOW COST WHILE ACHIEVING A HIGH DEGREE OF STATEWIDE CONSISTENCY IN NATURAL GAS REGULATION.</w:t>
      </w:r>
    </w:p>
    <w:p>
      <w:pPr>
        <w:pStyle w:val="BodyText"/>
        <w:spacing w:lineRule="auto" w:line="240"/>
        <w:ind w:hanging="0" w:end="0"/>
        <w:rPr>
          <w:b/>
          <w:caps/>
        </w:rPr>
      </w:pPr>
      <w:r>
        <w:rPr>
          <w:b/>
          <w:caps/>
        </w:rPr>
      </w:r>
    </w:p>
    <w:p>
      <w:pPr>
        <w:pStyle w:val="BodyText"/>
        <w:ind w:hanging="0" w:end="0"/>
        <w:rPr/>
      </w:pPr>
      <w:r>
        <w:rPr>
          <w:b/>
        </w:rPr>
        <w:tab/>
        <w:tab/>
      </w:r>
      <w:r>
        <w:rPr/>
        <w:t>The Comprehensive Settlement Agreement meets the challenge put forward by the Commission in D.99-07-015 by providing substantial benefits to all customer classes in a cost effective manner.  The CSA also modifies the existing gas regulatory structure for SoCalGas to substantially conform to that approved by the Commission for Pacific Gas &amp; Electric Co. (“PG&amp;E”) in D. 00-05-049, thereby achieving the Commission’s goal of statewide consistency in regulation.   Enron and WGSI will address each of the elements of the capacity issues in the CSA in turn, focusing on the benefits they provide to customers and other market participants.</w:t>
      </w:r>
    </w:p>
    <w:p>
      <w:pPr>
        <w:pStyle w:val="BodyText"/>
        <w:spacing w:lineRule="auto" w:line="240"/>
        <w:ind w:hanging="0" w:end="0"/>
        <w:rPr>
          <w:b/>
        </w:rPr>
      </w:pPr>
      <w:r>
        <w:rPr>
          <w:b/>
        </w:rPr>
      </w:r>
    </w:p>
    <w:p>
      <w:pPr>
        <w:pStyle w:val="BodyText"/>
        <w:ind w:firstLine="720" w:end="0"/>
        <w:rPr>
          <w:u w:val="single"/>
        </w:rPr>
      </w:pPr>
      <w:r>
        <w:rPr/>
        <w:t>A.</w:t>
        <w:tab/>
      </w:r>
      <w:r>
        <w:rPr>
          <w:u w:val="single"/>
        </w:rPr>
        <w:t>Unbundling of Intrastate Transmission</w:t>
      </w:r>
    </w:p>
    <w:p>
      <w:pPr>
        <w:pStyle w:val="BodyText"/>
        <w:rPr/>
      </w:pPr>
      <w:r>
        <w:rPr/>
        <w:t>Perhaps the single most important element of the CSA is the unbundling of intrastate transmission capacity, and the development of firm tradable rights for intrastate capacity.</w:t>
      </w:r>
      <w:r>
        <w:rPr>
          <w:rStyle w:val="FootnoteCharacters"/>
          <w:rStyle w:val="FootnoteReference"/>
        </w:rPr>
        <w:footnoteReference w:id="2"/>
      </w:r>
      <w:r>
        <w:rPr/>
        <w:t xml:space="preserve">   This reform was the first Promising Option identified by the Commission in D.99-07-015 and the centerpiece of its discussion of means to increase the efficiency of intrastate transmission.</w:t>
      </w:r>
      <w:r>
        <w:rPr>
          <w:rStyle w:val="FootnoteCharacters"/>
          <w:rStyle w:val="FootnoteReference"/>
        </w:rPr>
        <w:footnoteReference w:id="3"/>
      </w:r>
      <w:r>
        <w:rPr/>
        <w:t xml:space="preserve">   The CSA has adopted a traditional, time-tested ratemaking methodology for intrastate transmission which is  very similar to that in use on most interstate pipeline systems in the United States.  Rates are based upon the embedded cost of backbone transmission service, and are developed using reservation charges to recover a large percentage of the cost of service, with the remainder recovered in volumetric rates.  Every shipper using interstate pipelines serving California is familiar with demand or reservation charge rate designs.</w:t>
      </w:r>
      <w:r>
        <w:rPr>
          <w:rStyle w:val="FootnoteCharacters"/>
          <w:rStyle w:val="FootnoteReference"/>
        </w:rPr>
        <w:footnoteReference w:id="4"/>
      </w:r>
      <w:r>
        <w:rPr/>
        <w:t xml:space="preserve">  </w:t>
      </w:r>
    </w:p>
    <w:p>
      <w:pPr>
        <w:pStyle w:val="BodyText"/>
        <w:rPr/>
      </w:pPr>
      <w:r>
        <w:rPr/>
        <w:t>The two optional rate designs available under the CSA are also familiar to end-users.  The Straight Fixed Variable rate design recovers 100% of the fixed costs in a reservation charge, and variable costs in the volumetric rate, while the alternative rate design, which is set at a slight premium rate, recovers 50% of the costs in a reservation charge and the remainder in volumetric rates.</w:t>
      </w:r>
      <w:r>
        <w:rPr>
          <w:rStyle w:val="FootnoteCharacters"/>
          <w:rStyle w:val="FootnoteReference"/>
        </w:rPr>
        <w:footnoteReference w:id="5"/>
      </w:r>
      <w:r>
        <w:rPr/>
        <w:t xml:space="preserve">  The 50% reservation charge option, in particular, is very attractive to core customers and electric generators, two types of customers with low load factors who face significant swings in demand.</w:t>
      </w:r>
      <w:r>
        <w:rPr>
          <w:rStyle w:val="FootnoteCharacters"/>
          <w:rStyle w:val="FootnoteReference"/>
        </w:rPr>
        <w:footnoteReference w:id="6"/>
      </w:r>
      <w:r>
        <w:rPr/>
        <w:t xml:space="preserve">   This type of rate design reduces their financial commitment for fixed costs while still ensuring that they have access to the pipeline capacity they have reserved.</w:t>
      </w:r>
    </w:p>
    <w:p>
      <w:pPr>
        <w:pStyle w:val="BodyText"/>
        <w:rPr/>
      </w:pPr>
      <w:r>
        <w:rPr/>
        <w:t>In the face of criticism of the Comprehensive Settlement from the Southern California Generation Coalition (“SCGC”), which is one of the very few opponents of the CSA, it is important to note that even the municipal utility members of the  SCGC are experienced with the use of reservation charge rate designs.  As explained in Exhibit 25, which details the firm transmission capacity holdings of the municipal SCGC members on interstate pipelines serving California (and the PG&amp;E intrastate system), these municipal utilities are already obligated to pay demand charges under FERC-approved tariffs for the interstate capacity listed on the exhibit.  Furthermore, since the approval of the PG&amp;E Gas Accord, the Glendale, Burbank, and Pasadena utilities pay demand charges on the PG&amp;E intrastate system as well.</w:t>
      </w:r>
    </w:p>
    <w:p>
      <w:pPr>
        <w:pStyle w:val="BodyText"/>
        <w:rPr/>
      </w:pPr>
      <w:r>
        <w:rPr/>
        <w:t>Clearly, the mere existence of demand charges have not prevented these utilities from obtaining the gas required to meet their electric generation needs.  Why is this so?  This is because the SCGC members have approached the need to acquire firm capacity the same way that many customers do—they have purchased only a modest portion of their requirements on a firm basis, and purchase the remainder as interruptible capacity or in the capacity release market, which is a secondary market loosely regulated by the FERC.  Exhibit 25 indicates that the Los Angeles Department of Water &amp; Power has contracted for interstate capacity sufficient to serve 33.5% of its 1999 peak day requirements   Similarly, Burbank contracted for capacity equivalent to 69.3% of its peak day requirement, Glendale 56.7%, and Pasadena 56.3%.  The City of Glendale has made an even firmer commitment to capacity by purchasing a portion of PG&amp;E’s intrastate Line 401 for its use.</w:t>
      </w:r>
      <w:r>
        <w:rPr>
          <w:rStyle w:val="FootnoteCharacters"/>
          <w:rStyle w:val="FootnoteReference"/>
        </w:rPr>
        <w:footnoteReference w:id="7"/>
      </w:r>
      <w:r>
        <w:rPr/>
        <w:t xml:space="preserve">  As even the witness for SCGC admitted, purchasing a portion of a pipeline is a “pretty binding” commitment.</w:t>
      </w:r>
      <w:r>
        <w:rPr>
          <w:rStyle w:val="FootnoteCharacters"/>
          <w:rStyle w:val="FootnoteReference"/>
        </w:rPr>
        <w:footnoteReference w:id="8"/>
      </w:r>
      <w:r>
        <w:rPr/>
        <w:t xml:space="preserve">  Given the willingness of SCGC members to voluntarily undertake obligations virtually identical to those required by the CSA reservation charge concept, the Commission should not hesitate to use a demand charge rate design for intrastate transmission.   </w:t>
      </w:r>
    </w:p>
    <w:p>
      <w:pPr>
        <w:pStyle w:val="BodyText"/>
        <w:rPr/>
      </w:pPr>
      <w:r>
        <w:rPr/>
        <w:t>Under the provisions of the CSA, customers will be able to utilize the same strategy they rely upon for interstate arrangements in obtaining their new firm intrastate capacity—i.e., mixing firm capacity commitments with a flexible approach to obtaining the remainder of their needs in short term markets.  In contrast, under the existing system, or, indeed, under the proposals of SCGC and TURN, a customer could not acquire truly firm intrastate capacity to match the interstate capacity it holds.  The CSA will allow customers to obtain substantially greater certainty in securing the gas supply arrangements they prefer.</w:t>
      </w:r>
    </w:p>
    <w:p>
      <w:pPr>
        <w:pStyle w:val="BodyText"/>
        <w:rPr/>
      </w:pPr>
      <w:r>
        <w:rPr/>
        <w:t xml:space="preserve">An equally significant impact of the establishment of an unbundled intrastate transmission system is the creation of a true “citygate” for the pricing and sale of gas at the SoCalGas load center.  A “citygate” is the point at which the pipeline or transmission system interconnects with the utility distribution system.  In the case of SoCalGas, the citygate will actually be a series of physical points where the backbone transmission system interconnects with the distribution network encompassing the Los Angeles load center.  Gas can be bought and sold at this “virtual point” because the network is pressurized at multiple interconnections by the backbone transmission system and gas can be delivered or received at each of these </w:t>
      </w:r>
      <w:r>
        <w:br w:type="page"/>
      </w:r>
    </w:p>
    <w:p>
      <w:pPr>
        <w:pStyle w:val="BodyText"/>
        <w:ind w:hanging="0" w:end="0"/>
        <w:rPr/>
      </w:pPr>
      <w:r>
        <w:rPr/>
        <w:t>interconnection points without interrupting the general flow of gas in toward the load center.  However, while both the CSA and the Post Interim Settlement eliminate the current “windowing” procedures of SoCalGas, only the CSA provides unbundled intrastate transmission and actually creates the conditions required for a citygate market.</w:t>
      </w:r>
      <w:r>
        <w:rPr>
          <w:rStyle w:val="FootnoteCharacters"/>
          <w:rStyle w:val="FootnoteReference"/>
        </w:rPr>
        <w:footnoteReference w:id="9"/>
      </w:r>
    </w:p>
    <w:p>
      <w:pPr>
        <w:pStyle w:val="BodyText"/>
        <w:rPr/>
      </w:pPr>
      <w:r>
        <w:rPr/>
        <w:t xml:space="preserve">What is significant in the larger sense about the unbundling of the intrastate transmission system and the development of a true citygate market for Southern California is that,  combined with the unbundling of PG&amp;E’s system via the Gas Accord, California will finally have a completely open access gas transmission system akin to that in effect in the rest of the country.  In other states, utilities do not usually stretch from border to border, they are centered around metropolitan regions.  Only in California were the utilities large enough to cover the entire expanse of the state,  taking all the gas from the interstate pipelines at the border interconnections, and transporting the gas exclusively over their own intrastate transmission facilities to the load centers.  This historical anomaly resulted in the development of a “border price” for Northern and Southern California, rather than a citygate price.  The entry of the Kern River  and Mojave interstate pipelines into California began the breakdown of this model, which is set for complete overhauling with the approval of the CSA.  The benefit that accrues from a fully open access transmission network is a far higher degree of competition for both the gas commodity and gas transportation arrangements at the citygate.  </w:t>
      </w:r>
    </w:p>
    <w:p>
      <w:pPr>
        <w:pStyle w:val="BodyText"/>
        <w:rPr/>
      </w:pPr>
      <w:r>
        <w:rPr/>
        <w:t>For example, shippers on the SoCalGas system will no longer be required to pay bundled utility rates for intrastate transportation and distribution service.  This allows customers and marketers the opportunity to make many alternate arrangements for getting gas to the citygate point.  In other states, there was frequently competition between many interstate pipelines delivering gas into the citygate of a single utility.  This is the case in Chicago, which is served by multiple interstate pipelines, and is one of the most competitive natural gas hubs in the Midwest.  With the approval of the CSA by the Commission, this will now be true in California as well, as gas can be delivered to the citygate in a variety of ways.  These would include firm intrastate transmission rights owned by multiple parties, including both end users and marketers, gas withdrawn out of storage directly into the citygate without incurring additional intrastate charges, or even gas delivered by displacement from off-system storage through sales of gas at the PG&amp;E citygate.</w:t>
      </w:r>
      <w:r>
        <w:rPr>
          <w:rStyle w:val="FootnoteCharacters"/>
          <w:rStyle w:val="FootnoteReference"/>
        </w:rPr>
        <w:footnoteReference w:id="10"/>
      </w:r>
      <w:r>
        <w:rPr/>
        <w:t xml:space="preserve">   These additional transmission options and sources of gas supply mean more competition among sellers of gas at the citygate, and lower gas prices.  </w:t>
      </w:r>
    </w:p>
    <w:p>
      <w:pPr>
        <w:pStyle w:val="BodyText"/>
        <w:rPr/>
      </w:pPr>
      <w:r>
        <w:rPr/>
        <w:t>In PG&amp;E’s service territory, the impact of this additional competition is already being felt.  The evidence described in the testimony of Vernon witness Beach shows that, increasingly, the PG&amp;E citygate price is lower than the corresponding border price plus the tariffed intrastate transmission rate.</w:t>
      </w:r>
      <w:r>
        <w:rPr>
          <w:rStyle w:val="FootnoteCharacters"/>
          <w:rStyle w:val="FootnoteReference"/>
        </w:rPr>
        <w:footnoteReference w:id="11"/>
      </w:r>
      <w:r>
        <w:rPr/>
        <w:t xml:space="preserve">   In essence, parties who hold or obtained transmission rights to bring gas to the citygate are willing to offer discounts to recover as much of their fixed costs as possible and to ensure that their gas is taken by bargain-hunting buyers.  Significantly, the substantial benefits of lower-priced citygate gas on the PG&amp;E system is available for customers even without the payment of any demand charges.</w:t>
      </w:r>
      <w:r>
        <w:rPr>
          <w:rStyle w:val="FootnoteCharacters"/>
          <w:rStyle w:val="FootnoteReference"/>
        </w:rPr>
        <w:footnoteReference w:id="12"/>
      </w:r>
      <w:r>
        <w:rPr/>
        <w:t xml:space="preserve">   Under the CSA every customer has the option to not contract for any backbone transmission service.</w:t>
      </w:r>
      <w:r>
        <w:rPr>
          <w:rStyle w:val="FootnoteCharacters"/>
          <w:rStyle w:val="FootnoteReference"/>
        </w:rPr>
        <w:footnoteReference w:id="13"/>
      </w:r>
      <w:r>
        <w:rPr/>
        <w:t xml:space="preserve">  Many customers have chosen not to contract for firm capacity on PG&amp;E’s intrastate system, and purchase their gas at </w:t>
      </w:r>
      <w:r>
        <w:br w:type="page"/>
      </w:r>
    </w:p>
    <w:p>
      <w:pPr>
        <w:pStyle w:val="BodyText"/>
        <w:rPr/>
      </w:pPr>
      <w:r>
        <w:rPr/>
      </w:r>
    </w:p>
    <w:p>
      <w:pPr>
        <w:pStyle w:val="BodyText"/>
        <w:ind w:hanging="0" w:end="0"/>
        <w:rPr/>
      </w:pPr>
      <w:r>
        <w:rPr/>
        <w:t xml:space="preserve">the citygate, essentially delegating to marketers and producers the burden of contracting for firm capacity.  </w:t>
      </w:r>
    </w:p>
    <w:p>
      <w:pPr>
        <w:pStyle w:val="BodyText"/>
        <w:rPr/>
      </w:pPr>
      <w:r>
        <w:rPr/>
        <w:t>There is every reason to believe that this same competitive benefit will result from the unbundling of SoCalGas’ intrastate transmission system.  As discussed in the Rebuttal Testimony of Thomas Beach, the attempts of the SCGC witnesses to distinguish the PG&amp;E system from the SoCalGas system so as to make citygate savings less likely for SoCalGas are not well taken.  The price differentials at receipt points on both the PG&amp;E and SoCalGas systems are at low levels, yet the PG&amp;E citygate savings are still present, if not growing.</w:t>
      </w:r>
      <w:r>
        <w:rPr>
          <w:rStyle w:val="FootnoteCharacters"/>
          <w:rStyle w:val="FootnoteReference"/>
        </w:rPr>
        <w:footnoteReference w:id="14"/>
      </w:r>
      <w:r>
        <w:rPr/>
        <w:t xml:space="preserve">  In addition, the PG&amp;E and SoCalGas backbone transmission systems perform similar functions, and there is just as strong an operational basis for unbundling SoCalGas’s transmission as there was for PG&amp;E.</w:t>
      </w:r>
      <w:r>
        <w:rPr>
          <w:rStyle w:val="FootnoteCharacters"/>
          <w:rStyle w:val="FootnoteReference"/>
        </w:rPr>
        <w:footnoteReference w:id="15"/>
      </w:r>
      <w:r>
        <w:rPr/>
        <w:t xml:space="preserve">  None of SCGC’s witnesses successfully answered Mr. Beach’s Rebuttal Testimony during the hearings.  Indeed, SCGC and TURN have failed to establish any credible record of meaningful differences between the two systems. </w:t>
      </w:r>
    </w:p>
    <w:p>
      <w:pPr>
        <w:pStyle w:val="BodyText"/>
        <w:rPr/>
      </w:pPr>
      <w:r>
        <w:rPr/>
        <w:t>Another major benefit of the CSA is the substantial increase in certainty for shippers as a result of the creation of firm, tradable intrastate transmission rights.  The current system of “windowing” or restricting daily nominations at the individual receipt points on the SoCalGas system, has been roundly criticized by virtually all parties.</w:t>
      </w:r>
      <w:r>
        <w:rPr>
          <w:rStyle w:val="FootnoteCharacters"/>
          <w:rStyle w:val="FootnoteReference"/>
        </w:rPr>
        <w:footnoteReference w:id="16"/>
      </w:r>
      <w:r>
        <w:rPr/>
        <w:t xml:space="preserve">  The CSA includes a process designed to allocate firm capacity rights in a manner which gives some preference to existing customers, thereby easing such customers’ concerns that they would be denied capacity rights in a capacity auction where many other parties might be bidding for capacity.  However, the capacity allocation method also places limits on the capacity which can be allocated in advance to existing customers, or for terms longer than one year, thereby ensuring that new customers, marketers who seek to bring gas to the citygate, and other market participants who wish to change their capacity positions, will also have an opportunity to bid for capacity.</w:t>
      </w:r>
    </w:p>
    <w:p>
      <w:pPr>
        <w:pStyle w:val="BodyText"/>
        <w:rPr/>
      </w:pPr>
      <w:r>
        <w:rPr/>
        <w:t>It is worth discussing the CSA’s capacity reservation process in detail to describe the many opportunities which customers have to acquire intrastate capacity. Under the CSA, the core customers are permitted to reserve their firm capacity rights first, and are allocated specific rights at the receipt points matching the interstate pipelines contracts used to serve the core.  Whereas these core receipt point rights had not been very specific in the past, they are now firm rights and can be relied upon 365 days a year—a significant benefit to core customers.</w:t>
      </w:r>
      <w:r>
        <w:rPr>
          <w:rStyle w:val="FootnoteCharacters"/>
          <w:rStyle w:val="FootnoteReference"/>
        </w:rPr>
        <w:footnoteReference w:id="17"/>
      </w:r>
      <w:r>
        <w:rPr/>
        <w:t xml:space="preserve">  The CSA also gives core customers a larger relative allocation of capacity of 290 MMcfd at the attractive Topock interconnection, which should provide additional value for core customers.</w:t>
      </w:r>
      <w:r>
        <w:rPr>
          <w:rStyle w:val="FootnoteCharacters"/>
          <w:rStyle w:val="FootnoteReference"/>
        </w:rPr>
        <w:footnoteReference w:id="18"/>
      </w:r>
      <w:r>
        <w:rPr/>
        <w:t xml:space="preserve">   Core aggregation customers and wholesale core loads are also allowed to make reservations proportional to the total SoCalGas core load in this part of the process.  All types of core customers may also sell and acquire capacity in the secondary market, and wholesale core providers may also participate in the Open Season.  If the Gas Acquisition Department of SoCalGas serves a smaller market because of increased CAT demand, the core may reduce its reservation.</w:t>
      </w:r>
      <w:r>
        <w:rPr>
          <w:rStyle w:val="FootnoteCharacters"/>
          <w:rStyle w:val="FootnoteReference"/>
        </w:rPr>
        <w:footnoteReference w:id="19"/>
      </w:r>
    </w:p>
    <w:p>
      <w:pPr>
        <w:pStyle w:val="BodyText"/>
        <w:rPr/>
      </w:pPr>
      <w:r>
        <w:rPr/>
        <w:t>After the core reservation, noncore intrastate transmission rights would be assigned in the first instance through a three stage Open Season.  In the first two stages, end-use customers would be permitted to bid for capacity at any receipt point by bidding a specific term at either the 100% reservation charge rate or the 50%-50% alternative rate.  The first two stages will allocate capacity up to a limit of 50% of the capacity remaining at a receipt point after the core reservation is subtracted.  If any receipt points are over subscribed as a result of this bidding, the capacity will be allocated pro-rata to the bidders who submitted the highest value bids (i.e., the longest term).  The second stage of the Open Season is another round of bidding to allow end-use customers another attempt to obtain their requirements (in case they were not completely successful in the first stage) without facing competition from all other market participants.  Finally, in the third stage, all market participants can bid for any uncontracted firm capacity, although  20% of the capacity remaining in the third stage is limited to contracts with a term of one year so that new customers can be accommodated in future years.  There is a also a limitation of 40% on the amount of capacity that any one party may acquire in the Open Season at any receipt point (after the core reservation) so as to avoid a concentration of market power.</w:t>
      </w:r>
      <w:r>
        <w:rPr>
          <w:rStyle w:val="FootnoteCharacters"/>
          <w:rStyle w:val="FootnoteReference"/>
        </w:rPr>
        <w:footnoteReference w:id="20"/>
      </w:r>
      <w:r>
        <w:rPr/>
        <w:t xml:space="preserve">  </w:t>
      </w:r>
    </w:p>
    <w:p>
      <w:pPr>
        <w:pStyle w:val="BodyText"/>
        <w:rPr/>
      </w:pPr>
      <w:r>
        <w:rPr/>
        <w:t>This phased approach to an Open Season represents a negotiated compromise to address customer concerns about the transition to an unbundled intrastate transmission system.   Frankly a number of end-users were skeptical of an auction, fearing that it could cause capacity prices to fluctuate significantly.</w:t>
      </w:r>
      <w:r>
        <w:rPr>
          <w:rStyle w:val="FootnoteCharacters"/>
          <w:rStyle w:val="FootnoteReference"/>
        </w:rPr>
        <w:footnoteReference w:id="21"/>
      </w:r>
      <w:r>
        <w:rPr/>
        <w:t xml:space="preserve">  The use of a single postage stamp rate is another aspect of the Open Season which was agreed to in order to address the concerns of customers that a capacity auction could result in price fluctuations</w:t>
      </w:r>
      <w:r>
        <w:rPr>
          <w:rStyle w:val="FootnoteCharacters"/>
          <w:rStyle w:val="FootnoteReference"/>
        </w:rPr>
        <w:footnoteReference w:id="22"/>
      </w:r>
      <w:r>
        <w:rPr/>
        <w:t>.  The CSA strikes the appropriate balance between the concerns of customers and the need to open the capacity market to competition.  This balance is achieved  by providing existing end-use customers with a preferential opportunity to obtain</w:t>
      </w:r>
      <w:r>
        <w:br w:type="page"/>
      </w:r>
    </w:p>
    <w:p>
      <w:pPr>
        <w:pStyle w:val="BodyText"/>
        <w:ind w:hanging="0" w:end="0"/>
        <w:rPr/>
      </w:pPr>
      <w:r>
        <w:rPr/>
        <w:t>capacity while ensuring that these same customers do not reserve all the capacity to the exclusion of new customers and other market participants.   As set forth in Ex. 23, there will likely be significant amounts of capacity available in the third stage of the Open Season at each receipt point, even given a conservative base case scenario.</w:t>
      </w:r>
      <w:r>
        <w:rPr>
          <w:rStyle w:val="FootnoteCharacters"/>
          <w:rStyle w:val="FootnoteReference"/>
        </w:rPr>
        <w:footnoteReference w:id="23"/>
      </w:r>
      <w:r>
        <w:rPr/>
        <w:t xml:space="preserve"> </w:t>
      </w:r>
    </w:p>
    <w:p>
      <w:pPr>
        <w:pStyle w:val="BodyText"/>
        <w:rPr>
          <w:sz w:val="20"/>
        </w:rPr>
      </w:pPr>
      <w:r>
        <w:rPr/>
        <w:t>The Open Season is not the only means for obtaining firm capacity, however.  Any capacity at any receipt point which is not sold in the Open Season can be marketed by SoCalGas on a negotiated basis as “interruptible” or “as-available” capacity at prices up to 120% of the embedded cost of backbone capacity.   SoCalGas can sell this capacity for short term periods, as peaking service, for long term periods, and on a firm basis—whatever the customer desires to obtain.</w:t>
      </w:r>
      <w:r>
        <w:rPr>
          <w:rStyle w:val="FootnoteCharacters"/>
          <w:rStyle w:val="FootnoteReference"/>
        </w:rPr>
        <w:footnoteReference w:id="24"/>
      </w:r>
      <w:r>
        <w:rPr/>
        <w:t xml:space="preserve">   A key safeguard for customers in the CSA is that upon implementation of the intrastate capacity unbundling SoCalGas and its shareholders will bear 100% of the risk of uncontracted intrastate transmission capacity.  In the past, core and noncore customers bore a substantial  risk of paying transmission costs they did not incur if SoCalGas could not recover all its costs in tariffed or interruptible rates.  Once the utility’s shareholders bear 100% of the risk of recovering the cost of this capacity, SoCalGas will have a very strong incentive to market all the capacity which is available, including discounting that capacity.</w:t>
      </w:r>
      <w:r>
        <w:rPr>
          <w:rStyle w:val="FootnoteCharacters"/>
          <w:rStyle w:val="FootnoteReference"/>
        </w:rPr>
        <w:footnoteReference w:id="25"/>
      </w:r>
      <w:r>
        <w:rPr/>
        <w:t xml:space="preserve">   Indeed, it is difficult to construct any scenario in which this powerful incentive would not have the desired effect--SoCalGas will attempt to maximize its revenues by marketing all available capacity.</w:t>
      </w:r>
      <w:r>
        <w:rPr>
          <w:rStyle w:val="FootnoteCharacters"/>
          <w:rStyle w:val="FootnoteReference"/>
        </w:rPr>
        <w:footnoteReference w:id="26"/>
      </w:r>
      <w:r>
        <w:rPr/>
        <w:t xml:space="preserve">    Another important aspect of the CSA is that SoCalGas has the ability to market available capacity which has been contracted for but not nominated for use, in order to prevent parties from “hoarding” capacity.</w:t>
      </w:r>
      <w:r>
        <w:rPr>
          <w:rStyle w:val="FootnoteCharacters"/>
          <w:rStyle w:val="FootnoteReference"/>
        </w:rPr>
        <w:footnoteReference w:id="27"/>
      </w:r>
    </w:p>
    <w:p>
      <w:pPr>
        <w:pStyle w:val="BodyText"/>
        <w:rPr/>
      </w:pPr>
      <w:r>
        <w:rPr/>
        <w:t>Any holder of capacity, whether acquired in the Open Season or not, may sell all or a portion of its capacity in the unregulated secondary market for capacity.  The secondary market operates as an “after market” available to anyone after those customers who desire the security of firm capacity have already had multiple opportunities to obtain that capacity.  Customers can buy in the secondary market what they could not obtain in the Open Season.  The secondary market will also served as a vital check on Open Season and as-available capacity sales by providing a price point which is based purely on supply and demand.   The creation of this secondary market was itself another of the Commission’s key Promising Options.</w:t>
      </w:r>
      <w:r>
        <w:rPr>
          <w:rStyle w:val="FootnoteCharacters"/>
          <w:rStyle w:val="FootnoteReference"/>
        </w:rPr>
        <w:footnoteReference w:id="28"/>
      </w:r>
    </w:p>
    <w:p>
      <w:pPr>
        <w:pStyle w:val="BodyText"/>
        <w:ind w:hanging="0" w:end="0"/>
        <w:rPr/>
      </w:pPr>
      <w:r>
        <w:rPr/>
        <w:tab/>
        <w:tab/>
        <w:t>Given the parties concerns about the pros and cons of an auction system, the Open Season and its companion capacity markets represent a balanced compromise in light of all the difficulties of transitioning to a system of tradable rights from the bundled system</w:t>
      </w:r>
      <w:r>
        <w:rPr>
          <w:rStyle w:val="FootnoteCharacters"/>
          <w:rStyle w:val="FootnoteReference"/>
        </w:rPr>
        <w:footnoteReference w:id="29"/>
      </w:r>
      <w:r>
        <w:rPr/>
        <w:t>.  As Enron witness Dasovich stated, “It gives a fair allocation to all customers on SoCalGas’ system in the initial allocation after which market dynamics take over and value that capacity and send the price signals.”</w:t>
      </w:r>
      <w:r>
        <w:rPr>
          <w:rStyle w:val="FootnoteCharacters"/>
          <w:rStyle w:val="FootnoteReference"/>
        </w:rPr>
        <w:footnoteReference w:id="30"/>
      </w:r>
      <w:r>
        <w:rPr/>
        <w:t xml:space="preserve">   In contrast, the purely volumetric rates in effect today do not constitute price signals because the rates are not tied to firm capacity rights.  A shipper cannot be certain that the capacity they received today at Wheeler Ridge in exchange for paying the SoCalGas volumetric rate is what they will be allocated tomorrow.  Without firm intrastate transmission rights, and market pricing of those firm rights, no reliable price signals are transmitted to either sellers or buyers.</w:t>
      </w:r>
      <w:r>
        <w:br w:type="page"/>
      </w:r>
    </w:p>
    <w:p>
      <w:pPr>
        <w:pStyle w:val="BodyText"/>
        <w:ind w:hanging="0" w:end="0"/>
        <w:rPr/>
      </w:pPr>
      <w:r>
        <w:rPr/>
        <w:tab/>
        <w:tab/>
        <w:t>Enron and WGSI also support the provisions of the CSA which set out the Primary and Secondary Receipt Point Access Rights.</w:t>
      </w:r>
      <w:r>
        <w:rPr>
          <w:rStyle w:val="FootnoteCharacters"/>
          <w:rStyle w:val="FootnoteReference"/>
        </w:rPr>
        <w:footnoteReference w:id="31"/>
      </w:r>
      <w:r>
        <w:rPr/>
        <w:t xml:space="preserve">  The principles agreed to by the CSA supporters clarify the priority of primary and secondary rights at the various SoCalGas receipt points, including the relationship between deliveries from Transwestern Pipeline at North Needles and the receipt of other volumes at the Hector Road interconnection point with Mojave Pipeline Company.  In addition, the CSA designates Hector Road as a new primary delivery point in conformance with another of the Commission’s Promising Options in D.99-07-015.</w:t>
      </w:r>
      <w:r>
        <w:rPr>
          <w:rStyle w:val="FootnoteCharacters"/>
          <w:rStyle w:val="FootnoteReference"/>
        </w:rPr>
        <w:footnoteReference w:id="32"/>
      </w:r>
      <w:r>
        <w:rPr/>
        <w:t xml:space="preserve">  These provisions provide the parties with clear direction on what receipt point capacity will be available for allocation in the Open Season process.  For that reason alone, the Commission should adopt the receipt point access rights contained in Appendix B of the CSA.</w:t>
      </w:r>
    </w:p>
    <w:p>
      <w:pPr>
        <w:pStyle w:val="BodyText"/>
        <w:ind w:hanging="0" w:end="0"/>
        <w:rPr/>
      </w:pPr>
      <w:r>
        <w:rPr/>
      </w:r>
    </w:p>
    <w:p>
      <w:pPr>
        <w:pStyle w:val="BodyText"/>
        <w:ind w:firstLine="720" w:end="0"/>
        <w:rPr>
          <w:u w:val="single"/>
        </w:rPr>
      </w:pPr>
      <w:r>
        <w:rPr/>
        <w:t>B.</w:t>
        <w:tab/>
      </w:r>
      <w:r>
        <w:rPr>
          <w:u w:val="single"/>
        </w:rPr>
        <w:t>Unbundling of Storage</w:t>
      </w:r>
    </w:p>
    <w:p>
      <w:pPr>
        <w:pStyle w:val="BodyText"/>
        <w:ind w:hanging="0" w:end="0"/>
        <w:rPr/>
      </w:pPr>
      <w:r>
        <w:rPr/>
        <w:tab/>
        <w:tab/>
        <w:t>In D. 93-02-013 the Commission unbundled all of SoCalGas’ noncore storage capacity, save that needed for balancing.</w:t>
      </w:r>
      <w:r>
        <w:rPr>
          <w:rStyle w:val="FootnoteCharacters"/>
          <w:rStyle w:val="FootnoteReference"/>
        </w:rPr>
        <w:footnoteReference w:id="33"/>
      </w:r>
      <w:r>
        <w:rPr/>
        <w:t xml:space="preserve">  The CSA offers the Commission the opportunity to complete the unbundling of storage, and to provide all classes of customers with greatly enhanced options for managing the reliability of their own gas supplies.  There are substantial storage related benefits for all classes of customers in the CSA.  </w:t>
      </w:r>
    </w:p>
    <w:p>
      <w:pPr>
        <w:pStyle w:val="BodyText"/>
        <w:ind w:hanging="0" w:end="0"/>
        <w:rPr/>
      </w:pPr>
      <w:r>
        <w:rPr/>
        <w:tab/>
        <w:tab/>
        <w:t>Core customers benefit by paying for a lower storage reservation of 55 Bcf instead of the current 70 Bcf</w:t>
      </w:r>
      <w:r>
        <w:rPr>
          <w:rStyle w:val="FootnoteCharacters"/>
          <w:rStyle w:val="FootnoteReference"/>
        </w:rPr>
        <w:footnoteReference w:id="34"/>
      </w:r>
      <w:r>
        <w:rPr/>
        <w:t>, which is still more than adequate to meet core peaking requirements in a cold year.</w:t>
      </w:r>
      <w:r>
        <w:rPr>
          <w:rStyle w:val="FootnoteCharacters"/>
          <w:rStyle w:val="FootnoteReference"/>
        </w:rPr>
        <w:footnoteReference w:id="35"/>
      </w:r>
      <w:r>
        <w:rPr/>
        <w:t xml:space="preserve">  </w:t>
      </w:r>
      <w:r>
        <w:rPr>
          <w:b/>
        </w:rPr>
        <w:t xml:space="preserve"> </w:t>
      </w:r>
      <w:r>
        <w:rPr/>
        <w:t>The core will save over $5 million per year in reduced storage costs due to the reduced allocation of core storage inventory and reduced injection and withdrawal capacity.</w:t>
      </w:r>
      <w:r>
        <w:rPr>
          <w:rStyle w:val="FootnoteCharacters"/>
          <w:rStyle w:val="FootnoteReference"/>
        </w:rPr>
        <w:footnoteReference w:id="36"/>
      </w:r>
      <w:r>
        <w:rPr/>
        <w:t xml:space="preserve">  In addition, the core can maximize the value of the storage assets assigned to it in the secondary market.   </w:t>
      </w:r>
    </w:p>
    <w:p>
      <w:pPr>
        <w:pStyle w:val="BodyText"/>
        <w:ind w:hanging="0" w:end="0"/>
        <w:rPr/>
      </w:pPr>
      <w:r>
        <w:rPr/>
        <w:tab/>
        <w:tab/>
        <w:t>The core, as well as other customer classes, also benefits from the change from Long Run Marginal Price (“LRMC”) based rates to Embedded Cost rates for storage.  LRMC rate design has been a controversial part of recent BCAP proceedings, as rates can change significantly based upon projections of future demand.  Supporters of the CSA believe that storage rates based on the embedded cost of the storage system are preferable to LRMC rates.</w:t>
      </w:r>
      <w:r>
        <w:rPr>
          <w:rStyle w:val="FootnoteCharacters"/>
          <w:rStyle w:val="FootnoteReference"/>
        </w:rPr>
        <w:footnoteReference w:id="37"/>
      </w:r>
      <w:r>
        <w:rPr/>
        <w:t xml:space="preserve">   </w:t>
      </w:r>
    </w:p>
    <w:p>
      <w:pPr>
        <w:pStyle w:val="BodyText"/>
        <w:ind w:hanging="0" w:end="0"/>
        <w:rPr/>
      </w:pPr>
      <w:r>
        <w:rPr/>
        <w:tab/>
        <w:tab/>
        <w:t>A major victory for customers in the CSA is the schedule which places an increasing amount of the risk of uncontracted storage costs on SoCalGas so that by the third year of the settlement, SoCalGas is 100% liable for any uncontracted storage.</w:t>
      </w:r>
      <w:r>
        <w:rPr>
          <w:rStyle w:val="FootnoteCharacters"/>
          <w:rStyle w:val="FootnoteReference"/>
        </w:rPr>
        <w:footnoteReference w:id="38"/>
      </w:r>
      <w:r>
        <w:rPr/>
        <w:t xml:space="preserve">  In past years, all transmission customers have paid a surcharge for storage costs not recovered in SoCalGas storage rates.  Under the CSA, this long standing issue would be resolved, and the utility would have a strong financial incentive to obtain value from its large base of storage assets or dispose of some of them in order to reduce costs.   </w:t>
      </w:r>
    </w:p>
    <w:p>
      <w:pPr>
        <w:pStyle w:val="BodyText"/>
        <w:ind w:hanging="0" w:end="0"/>
        <w:rPr/>
      </w:pPr>
      <w:r>
        <w:rPr/>
        <w:tab/>
        <w:tab/>
        <w:t>As in the case of intrastate transmission capacity, if SoCalGas is unsuccessful in selling all its storage capacity, it risks not recovering its revenue requirement</w:t>
      </w:r>
      <w:r>
        <w:rPr>
          <w:rStyle w:val="FootnoteCharacters"/>
          <w:rStyle w:val="FootnoteReference"/>
        </w:rPr>
        <w:footnoteReference w:id="39"/>
      </w:r>
      <w:r>
        <w:rPr/>
        <w:t xml:space="preserve">,  and this could induce SoCalGas to offer discounted storage service.   While the CSA provides for SoCalGas to offer specific “packages” of storage service in its Open Season for storage, with a  given </w:t>
      </w:r>
      <w:r>
        <w:br w:type="page"/>
      </w:r>
    </w:p>
    <w:p>
      <w:pPr>
        <w:pStyle w:val="BodyText"/>
        <w:ind w:hanging="0" w:end="0"/>
        <w:rPr/>
      </w:pPr>
      <w:r>
        <w:rPr/>
        <w:t>proportion of injection and withdrawal per unit of storage inventory, SoCalGas would not be so restricted in the secondary market, and could sell any available quantity of any particular storage function a customer sought.</w:t>
      </w:r>
      <w:r>
        <w:rPr>
          <w:rStyle w:val="FootnoteCharacters"/>
          <w:rStyle w:val="FootnoteReference"/>
        </w:rPr>
        <w:footnoteReference w:id="40"/>
      </w:r>
    </w:p>
    <w:p>
      <w:pPr>
        <w:pStyle w:val="BodyText"/>
        <w:ind w:hanging="0" w:end="0"/>
        <w:rPr/>
      </w:pPr>
      <w:r>
        <w:rPr/>
        <w:tab/>
        <w:tab/>
        <w:t>Customers will also benefit from the fact that the CSA will provide them with many more innovative products and services, including services which make use of unbundled storage.  It was illuminating to note that the opponents of the CSA were completely surprised by WGSI witness Amirault’s explanation of how storage in Northern California could be used to provide service to customers on SoCalGas’ system even without the acquisition of transportation capacity between the two utilities.</w:t>
      </w:r>
      <w:r>
        <w:rPr>
          <w:rStyle w:val="FootnoteCharacters"/>
          <w:rStyle w:val="FootnoteReference"/>
        </w:rPr>
        <w:footnoteReference w:id="41"/>
      </w:r>
      <w:r>
        <w:rPr/>
        <w:t xml:space="preserve">  This is a reflection of the fact that the opponents of the CSA are focused on the status quo, and are not actively trying to create economic solutions for customers.  Increased storage unbundling for core customers, CAT customers, and noncore customers, including a secondary market, will allow all parties access to more innovative reliability solutions.</w:t>
      </w:r>
    </w:p>
    <w:p>
      <w:pPr>
        <w:pStyle w:val="BodyText"/>
        <w:ind w:hanging="0" w:end="0"/>
        <w:rPr/>
      </w:pPr>
      <w:r>
        <w:rPr/>
        <w:tab/>
        <w:tab/>
        <w:t>One other market segment also benefits from the storage provisions of the CSA.  Independent storage providers such as WGSI, and prospective storage competitors such as Western Hub Properties (“WHP”) have a very strong interest in ensuring that the market structure resulting from the CSA permits new storage competitors a reasonable opportunity to compete in Southern California.  WGSI witness Amirault testified that the CSA would effectively level the playing field between WGSI and SoCalGas.</w:t>
      </w:r>
      <w:r>
        <w:rPr>
          <w:rStyle w:val="FootnoteCharacters"/>
          <w:rStyle w:val="FootnoteReference"/>
        </w:rPr>
        <w:footnoteReference w:id="42"/>
      </w:r>
      <w:r>
        <w:rPr/>
        <w:t xml:space="preserve">   The provisions of the CSA also provide that for the first two years of the settlement, there will be floor prices limiting the extent of discounting that SoCalGas may offer for as available storage.</w:t>
      </w:r>
      <w:r>
        <w:rPr>
          <w:rStyle w:val="FootnoteCharacters"/>
          <w:rStyle w:val="FootnoteReference"/>
        </w:rPr>
        <w:footnoteReference w:id="43"/>
      </w:r>
      <w:r>
        <w:rPr/>
        <w:t xml:space="preserve">  This will prevent SoCalGas from attempting to keep new competitors out of its market by engaging in steep discounting of its as available storage in the early years of the settlement.  At the same time, the transition to 100% risk of uncontracted storage capacity for the utility will also protect the new competitors by making SoCalGas equally at risk for marketing its storage services.  At the present, the utility has a tremendous advantage in marketing storage by virtue of the fact that revenue shortfalls from any discounting would be shared by ratepayers.  This subsidization of SoCalGas’ storage by its captive customers will be phased out in two years under the CSA.  The Post Interim Settlement explicitly permits this subsidization to continue and leaves the issue to be relitigated again and again.</w:t>
      </w:r>
    </w:p>
    <w:p>
      <w:pPr>
        <w:pStyle w:val="BodyText"/>
        <w:ind w:hanging="0" w:end="0"/>
        <w:rPr/>
      </w:pPr>
      <w:r>
        <w:rPr/>
      </w:r>
    </w:p>
    <w:p>
      <w:pPr>
        <w:pStyle w:val="BodyText"/>
        <w:ind w:firstLine="720" w:end="0"/>
        <w:rPr>
          <w:u w:val="single"/>
        </w:rPr>
      </w:pPr>
      <w:r>
        <w:rPr/>
        <w:t>C.</w:t>
        <w:tab/>
      </w:r>
      <w:r>
        <w:rPr>
          <w:u w:val="single"/>
        </w:rPr>
        <w:t>Unbundling of Balancing</w:t>
      </w:r>
    </w:p>
    <w:p>
      <w:pPr>
        <w:pStyle w:val="BodyText"/>
        <w:ind w:hanging="0" w:end="0"/>
        <w:rPr/>
      </w:pPr>
      <w:r>
        <w:rPr/>
        <w:tab/>
        <w:tab/>
        <w:t>The provisions of the CSA specify the resources that will be used for core and noncore balancing</w:t>
      </w:r>
      <w:r>
        <w:rPr>
          <w:rStyle w:val="FootnoteCharacters"/>
          <w:rStyle w:val="FootnoteReference"/>
        </w:rPr>
        <w:footnoteReference w:id="44"/>
      </w:r>
      <w:r>
        <w:rPr/>
        <w:t>, and put an end to the cross subsidization of various customers whose gas imbalances required the use of other customer classes’ assets to accommodate.</w:t>
      </w:r>
      <w:r>
        <w:rPr>
          <w:rStyle w:val="FootnoteCharacters"/>
          <w:rStyle w:val="FootnoteReference"/>
        </w:rPr>
        <w:footnoteReference w:id="45"/>
      </w:r>
      <w:r>
        <w:rPr/>
        <w:t xml:space="preserve">   This is accomplished by providing for separation of balancing service and assets for core and noncore customers.  This is in direct compliance with the Commission’s Promising Option calling for structural options for balancing without drawing on core customer assets.</w:t>
      </w:r>
      <w:r>
        <w:rPr>
          <w:rStyle w:val="FootnoteCharacters"/>
          <w:rStyle w:val="FootnoteReference"/>
        </w:rPr>
        <w:footnoteReference w:id="46"/>
      </w:r>
      <w:r>
        <w:rPr/>
        <w:t xml:space="preserve">  In essence, the CSA eliminates those situations in which customers in both the core and noncore classes have been </w:t>
      </w:r>
      <w:r>
        <w:br w:type="page"/>
      </w:r>
    </w:p>
    <w:p>
      <w:pPr>
        <w:pStyle w:val="BodyText"/>
        <w:ind w:hanging="0" w:end="0"/>
        <w:rPr/>
      </w:pPr>
      <w:r>
        <w:rPr/>
        <w:t>getting “free storage” without any accounting or balancing of cross subsidies.   In addition, with separate core and noncore balancing assets,  SoCalGas will no longer have to impose the “winter balancing rules” which restricted customer gas nominations during the winter months.</w:t>
      </w:r>
      <w:r>
        <w:rPr>
          <w:rStyle w:val="FootnoteCharacters"/>
          <w:rStyle w:val="FootnoteReference"/>
        </w:rPr>
        <w:footnoteReference w:id="47"/>
      </w:r>
      <w:r>
        <w:rPr/>
        <w:t xml:space="preserve">  The winter balancing rules would remain in place under the Post Interim Settlement.  </w:t>
      </w:r>
    </w:p>
    <w:p>
      <w:pPr>
        <w:pStyle w:val="BodyText"/>
        <w:ind w:hanging="0" w:end="0"/>
        <w:rPr/>
      </w:pPr>
      <w:r>
        <w:rPr/>
        <w:tab/>
        <w:tab/>
        <w:t>In addition, the CSA permits customers to chose an unbundled balancing option whereby the customer  1) obtains a credit for the portion of the storage assets used for balancing that it will no longer rely upon, and  2) commits to maintain a tighter daily balance between its deliveries and its usage of gas.</w:t>
      </w:r>
      <w:r>
        <w:rPr>
          <w:rStyle w:val="FootnoteCharacters"/>
          <w:rStyle w:val="FootnoteReference"/>
        </w:rPr>
        <w:footnoteReference w:id="48"/>
      </w:r>
      <w:r>
        <w:rPr/>
        <w:t xml:space="preserve">  This ensures that these customers will not impose large swings on the system during a month, whereas under the current 10% monthly balancing requirement, customers may be far more out of balance than 10% so long as they are back within the tolerance at month’s end.  Any customer who selects self-balancing will help bring the whole system closer into balance, thereby reducing the probability of OFOs.</w:t>
      </w:r>
    </w:p>
    <w:p>
      <w:pPr>
        <w:pStyle w:val="BodyText"/>
        <w:ind w:hanging="0" w:end="0"/>
        <w:rPr/>
      </w:pPr>
      <w:r>
        <w:rPr/>
        <w:tab/>
        <w:tab/>
        <w:t>Overall, the unbundled balancing provisions of the CSA will provide more incentive for customers to match their supply and demand on a regular basis.</w:t>
      </w:r>
      <w:r>
        <w:rPr>
          <w:rStyle w:val="FootnoteCharacters"/>
          <w:rStyle w:val="FootnoteReference"/>
        </w:rPr>
        <w:footnoteReference w:id="49"/>
      </w:r>
      <w:r>
        <w:rPr/>
        <w:t xml:space="preserve">  This can only help the system avoid the types of imbalance problems that have arisen in recent years.  Another factor that will assist achieve the same goal is that customers will be provided with significantly more information about the SoCalGas system, which will help customers anticipate OFO conditions and give them an advance opportunity to get back in balance before incurring any financial penalties.  The nature and type of information to be provided to customers is directly </w:t>
      </w:r>
      <w:r>
        <w:br w:type="page"/>
      </w:r>
    </w:p>
    <w:p>
      <w:pPr>
        <w:pStyle w:val="BodyText"/>
        <w:ind w:hanging="0" w:end="0"/>
        <w:rPr/>
      </w:pPr>
      <w:r>
        <w:rPr/>
        <w:t>parallel to that which PG&amp;E has agreed to provide its customers.</w:t>
      </w:r>
      <w:r>
        <w:rPr>
          <w:rStyle w:val="FootnoteCharacters"/>
          <w:rStyle w:val="FootnoteReference"/>
        </w:rPr>
        <w:footnoteReference w:id="50"/>
      </w:r>
    </w:p>
    <w:p>
      <w:pPr>
        <w:pStyle w:val="BodyText"/>
        <w:ind w:firstLine="720" w:end="0"/>
        <w:rPr>
          <w:u w:val="single"/>
        </w:rPr>
      </w:pPr>
      <w:r>
        <w:rPr/>
        <w:t>D.</w:t>
        <w:tab/>
      </w:r>
      <w:r>
        <w:rPr>
          <w:u w:val="single"/>
        </w:rPr>
        <w:t>Enhanced Imbalance Trading</w:t>
      </w:r>
    </w:p>
    <w:p>
      <w:pPr>
        <w:pStyle w:val="BodyText"/>
        <w:rPr/>
      </w:pPr>
      <w:r>
        <w:rPr/>
        <w:t>The CSA adopts new and innovative imbalance trading procedures which are substantially similar to those approved by the Commission in the PG&amp;E Comprehensive GIR Settlement.</w:t>
      </w:r>
      <w:r>
        <w:rPr>
          <w:rStyle w:val="FootnoteCharacters"/>
          <w:rStyle w:val="FootnoteReference"/>
        </w:rPr>
        <w:footnoteReference w:id="51"/>
      </w:r>
      <w:r>
        <w:rPr/>
        <w:t xml:space="preserve">  Improved imbalance trading will mean more liquid and more efficient gas markets, and a greater likelihood that more customers will remain in balance because there is a financial incentive for customers to transact with other customers who have offsetting imbalance positions.  Like the PG&amp;E settlement adopted by the Commission, the CSA calls for an independent third party to operate an electronic trading system for a limited period of time.  This system will benefit all customers, even those who do not subscribe to the service.  This is true because the additional price discovery of the anonymous and instantaneous trading system will tend to lower the spread between asked and accepted bids, and this will be reflected in a more narrow range of prices, lowering the transaction costs for all customers, whether or not they had the electronic price points in mind.</w:t>
      </w:r>
      <w:r>
        <w:rPr>
          <w:rStyle w:val="FootnoteCharacters"/>
          <w:rStyle w:val="FootnoteReference"/>
        </w:rPr>
        <w:footnoteReference w:id="52"/>
      </w:r>
      <w:r>
        <w:rPr/>
        <w:t xml:space="preserve">  Even if they did not, it is likely that their counterpart in the transaction did.</w:t>
      </w:r>
    </w:p>
    <w:p>
      <w:pPr>
        <w:pStyle w:val="BodyText"/>
        <w:ind w:hanging="0" w:end="0"/>
        <w:rPr/>
      </w:pPr>
      <w:r>
        <w:rPr/>
        <w:tab/>
        <w:tab/>
        <w:t>Frankly, the current system of calling potential trading partners on the phone involves a fair amount of time and transaction costs anyway.  But any customer who wishes to trade in the old “bilateral” manner may do so under the CSA—the ALTRA system is purely optional.</w:t>
      </w:r>
      <w:r>
        <w:rPr>
          <w:rStyle w:val="FootnoteCharacters"/>
          <w:rStyle w:val="FootnoteReference"/>
        </w:rPr>
        <w:footnoteReference w:id="53"/>
      </w:r>
      <w:r>
        <w:rPr/>
        <w:t xml:space="preserve">  OFO day trading rights or “chips” must be cleared on the electronic system, but they can be traded in a bilateral manner.  Parties can also trade physical gas through spot sales on the day of an OFO, which provides customers with yet another option to trade imbalance positions.</w:t>
      </w:r>
      <w:r>
        <w:rPr>
          <w:rStyle w:val="FootnoteCharacters"/>
          <w:rStyle w:val="FootnoteReference"/>
        </w:rPr>
        <w:footnoteReference w:id="54"/>
      </w:r>
      <w:r>
        <w:rPr/>
        <w:t xml:space="preserve">  While the CSA proponents were careful to ensure that parties could trade without having to subscribe to the third-party service, such third-party systems are already widely in use among California gas shippers and end users for commodity transactions</w:t>
      </w:r>
      <w:r>
        <w:rPr>
          <w:rStyle w:val="FootnoteCharacters"/>
          <w:rStyle w:val="FootnoteReference"/>
        </w:rPr>
        <w:footnoteReference w:id="55"/>
      </w:r>
      <w:r>
        <w:rPr/>
        <w:t xml:space="preserve">, and the cost of the imbalance trading service should be a small incremental charge for most shippers. </w:t>
      </w:r>
    </w:p>
    <w:p>
      <w:pPr>
        <w:pStyle w:val="BodyText"/>
        <w:ind w:hanging="0" w:end="0"/>
        <w:rPr>
          <w:u w:val="single"/>
        </w:rPr>
      </w:pPr>
      <w:r>
        <w:rPr>
          <w:u w:val="single"/>
        </w:rPr>
      </w:r>
    </w:p>
    <w:p>
      <w:pPr>
        <w:pStyle w:val="BodyText"/>
        <w:ind w:firstLine="720" w:end="0"/>
        <w:rPr>
          <w:u w:val="single"/>
        </w:rPr>
      </w:pPr>
      <w:r>
        <w:rPr/>
        <w:t>E.</w:t>
        <w:tab/>
      </w:r>
      <w:r>
        <w:rPr>
          <w:u w:val="single"/>
        </w:rPr>
        <w:t>Unbundling of Interstate Transmission Capacity</w:t>
      </w:r>
    </w:p>
    <w:p>
      <w:pPr>
        <w:pStyle w:val="BodyText"/>
        <w:ind w:hanging="0" w:end="0"/>
        <w:rPr/>
      </w:pPr>
      <w:r>
        <w:rPr/>
        <w:tab/>
        <w:tab/>
        <w:t xml:space="preserve">Although interstate transmission capacity had been unbundled for PG&amp;E core customers since the adoption of the Gas Accord in D.97-12-032, unbundling of core interstate capacity for SoCalGas had been litigated, held up by legislation, and subject to several ultimately unsuccessful settlement attempts.  The </w:t>
      </w:r>
      <w:r>
        <w:rPr>
          <w:caps/>
        </w:rPr>
        <w:t xml:space="preserve">CSA </w:t>
      </w:r>
      <w:r>
        <w:rPr/>
        <w:t>resolves one of the most difficult issues facing the Commission in this docket by achieving settlement supported by the vast majority of parties to the previous proceedings.</w:t>
      </w:r>
      <w:r>
        <w:rPr>
          <w:rStyle w:val="FootnoteCharacters"/>
          <w:rStyle w:val="FootnoteReference"/>
        </w:rPr>
        <w:footnoteReference w:id="56"/>
      </w:r>
      <w:r>
        <w:rPr/>
        <w:t xml:space="preserve">  In addition, the primary benefit for core customers in this portion of the settlement is the elimination of the core’s obligation to pay for a portion of traditional ITCS stranded costs, limited to 10% of the core’s interstate capacity costs.  Commencing January 1, 2002, the CSA would relieve core customers of those costs, which provides the core with between $7-11 million in savings.</w:t>
      </w:r>
      <w:r>
        <w:rPr>
          <w:rStyle w:val="FootnoteCharacters"/>
          <w:rStyle w:val="FootnoteReference"/>
        </w:rPr>
        <w:footnoteReference w:id="57"/>
      </w:r>
      <w:r>
        <w:rPr/>
        <w:t xml:space="preserve">  See CSA, Section 5.3.3.5.  The elimination of the core contribution to ITCS was a major objective of TURN, one of the opponents of the CSA.  Indeed, TURN’s witness indicated that they would likely not have supported the Post Interim Settlement if this goal were not achieved.</w:t>
      </w:r>
      <w:r>
        <w:rPr>
          <w:rStyle w:val="FootnoteCharacters"/>
          <w:rStyle w:val="FootnoteReference"/>
        </w:rPr>
        <w:footnoteReference w:id="58"/>
      </w:r>
      <w:r>
        <w:rPr/>
        <w:t xml:space="preserve">  </w:t>
      </w:r>
    </w:p>
    <w:p>
      <w:pPr>
        <w:pStyle w:val="BodyText"/>
        <w:ind w:hanging="0" w:end="0"/>
        <w:rPr/>
      </w:pPr>
      <w:r>
        <w:rPr/>
        <w:tab/>
        <w:tab/>
        <w:t>Enron and WGSI support the compromise adopted in the CSA for unbundling core interstate capacity costs as a reasonable sharing of  cost responsibility.  Enron and WGSI do not support the provisions of the Post Interim Settlement which would make SoCalGas shareholders liable for 25% of the ITCS.</w:t>
      </w:r>
      <w:r>
        <w:rPr>
          <w:rStyle w:val="FootnoteCharacters"/>
          <w:rStyle w:val="FootnoteReference"/>
        </w:rPr>
        <w:footnoteReference w:id="59"/>
      </w:r>
      <w:r>
        <w:rPr/>
        <w:t xml:space="preserve">  As revealed in the cross examination of  SCGC witness Yap by counsel for the City of Long Beach, such a provision would give SoCalGas a financial incentive to increase the cost of interstate capacity in the capacity release market.</w:t>
      </w:r>
      <w:r>
        <w:rPr>
          <w:rStyle w:val="FootnoteCharacters"/>
          <w:rStyle w:val="FootnoteReference"/>
        </w:rPr>
        <w:footnoteReference w:id="60"/>
      </w:r>
      <w:r>
        <w:rPr/>
        <w:t xml:space="preserve">  This would have a negative impact on all shippers and end-users of natural gas in Southern California.  This is a seriously misguided provision of the Post Interim Settlement, and further evidence of why the CSA is a superior settlement.</w:t>
      </w:r>
    </w:p>
    <w:p>
      <w:pPr>
        <w:pStyle w:val="BodyText"/>
        <w:ind w:hanging="0" w:end="0"/>
        <w:rPr/>
      </w:pPr>
      <w:r>
        <w:rPr/>
      </w:r>
    </w:p>
    <w:p>
      <w:pPr>
        <w:pStyle w:val="BodyText"/>
        <w:ind w:firstLine="720" w:end="0"/>
        <w:rPr/>
      </w:pPr>
      <w:r>
        <w:rPr/>
        <w:t>F.</w:t>
        <w:tab/>
      </w:r>
      <w:r>
        <w:rPr>
          <w:u w:val="single"/>
        </w:rPr>
        <w:t>Comparison of Costs and Benefits of the Comprehensive Settlement Agreement</w:t>
      </w:r>
    </w:p>
    <w:p>
      <w:pPr>
        <w:pStyle w:val="BodyText"/>
        <w:ind w:hanging="0" w:end="0"/>
        <w:rPr/>
      </w:pPr>
      <w:r>
        <w:rPr/>
        <w:tab/>
        <w:tab/>
        <w:t>In D. 99-07-015 the Commission stated that it intended this phase of the proceeding to evaluate the costs and benefits related to the most promising market structure options, including the cost and benefit impacts in areas such as consumer protection, the environment, labor impacts, service and reliability and safety.</w:t>
      </w:r>
      <w:r>
        <w:rPr>
          <w:rStyle w:val="FootnoteCharacters"/>
          <w:rStyle w:val="FootnoteReference"/>
        </w:rPr>
        <w:footnoteReference w:id="61"/>
      </w:r>
      <w:r>
        <w:rPr/>
        <w:t xml:space="preserve">  In later rulings in the case the  Presiding Administrative Law Judge added other areas, including the effect on the economy of California and the effect on other parts of the energy industry, such as the electric market.   In </w:t>
      </w:r>
      <w:r>
        <w:br w:type="page"/>
      </w:r>
    </w:p>
    <w:p>
      <w:pPr>
        <w:pStyle w:val="BodyText"/>
        <w:ind w:hanging="0" w:end="0"/>
        <w:rPr/>
      </w:pPr>
      <w:r>
        <w:rPr/>
        <w:t>testimony offered at the commencement of the “capacity panel” supporting the CSA, witness Lorenz of SoCalGas offered a common sense explanation as to why the CSA will have positive effects and not negative effects in each of these areas.</w:t>
      </w:r>
      <w:r>
        <w:rPr>
          <w:rStyle w:val="FootnoteCharacters"/>
          <w:rStyle w:val="FootnoteReference"/>
        </w:rPr>
        <w:footnoteReference w:id="62"/>
      </w:r>
      <w:r>
        <w:rPr/>
        <w:t xml:space="preserve">  Some of these costs and benefits can be specifically calculated, and these will be discussed below.  Others, like the impact of the CSA on service and reliability are determined by an analysis of the nature of the reforms included in the settlement.  </w:t>
      </w:r>
    </w:p>
    <w:p>
      <w:pPr>
        <w:pStyle w:val="BodyText"/>
        <w:ind w:firstLine="720" w:end="0"/>
        <w:rPr/>
      </w:pPr>
      <w:r>
        <w:rPr/>
        <w:t xml:space="preserve">For example, on this critical issue of safety and reliability, no one can precisely calculate the cost or benefit in terms of the future operation of the SoCalGas system.  The Commission and the parties will simply have to wait to see how the system works to engage in any quantification of benefits.  But even today, we know this much about the market structure proposed in the CSA:  </w:t>
      </w:r>
    </w:p>
    <w:p>
      <w:pPr>
        <w:pStyle w:val="BodyText"/>
        <w:spacing w:lineRule="auto" w:line="360"/>
        <w:ind w:hanging="0" w:start="1296" w:end="1296"/>
        <w:rPr/>
      </w:pPr>
      <w:r>
        <w:rPr/>
        <w:t>1)</w:t>
        <w:tab/>
        <w:t xml:space="preserve">In terms of the most important single reform of the CSA, the unbundling of intrastate transmission capacity and the creation of firm, tradable capacity rights, this same format has been in use successfully on PG&amp;E’s system since the implementation of the Gas Accord without any safety or reliability issues being raised.  </w:t>
      </w:r>
    </w:p>
    <w:p>
      <w:pPr>
        <w:pStyle w:val="BodyText"/>
        <w:spacing w:lineRule="auto" w:line="360"/>
        <w:ind w:hanging="0" w:start="1296" w:end="1296"/>
        <w:rPr/>
      </w:pPr>
      <w:r>
        <w:rPr/>
      </w:r>
    </w:p>
    <w:p>
      <w:pPr>
        <w:pStyle w:val="BodyText"/>
        <w:spacing w:lineRule="auto" w:line="360"/>
        <w:ind w:hanging="0" w:start="1296" w:end="1296"/>
        <w:rPr/>
      </w:pPr>
      <w:r>
        <w:rPr/>
        <w:t>2)</w:t>
        <w:tab/>
        <w:t>The same reservation charge-based rate design has also been in place on interstate pipelines since the late 1980’s.  Far from any detriment to safety and reliability, the advent of open access transportation on interstate pipelines lead to increased safety and reliability.   In the initial full panel hearing in the predecessor case to this proceeding, Enron Senior Vice President Steven Kean presented the Commission with statistics demonstrating that the number of safety related incidents on interstate pipelines decreased dramatically once open access was implemented by the FERC.</w:t>
      </w:r>
      <w:r>
        <w:rPr>
          <w:rStyle w:val="FootnoteCharacters"/>
          <w:rStyle w:val="FootnoteReference"/>
        </w:rPr>
        <w:footnoteReference w:id="63"/>
      </w:r>
      <w:r>
        <w:rPr/>
        <w:t xml:space="preserve">   This is not surprising.  A pipeline which is dependent on steady throughput because it can no longer force its customers to pay a minimum bill must do all in its power to avoid any accidental downtime for its system.  </w:t>
      </w:r>
    </w:p>
    <w:p>
      <w:pPr>
        <w:pStyle w:val="BodyText"/>
        <w:spacing w:lineRule="auto" w:line="360"/>
        <w:ind w:hanging="0" w:start="1296" w:end="1296"/>
        <w:rPr/>
      </w:pPr>
      <w:r>
        <w:rPr/>
      </w:r>
    </w:p>
    <w:p>
      <w:pPr>
        <w:pStyle w:val="BodyText"/>
        <w:spacing w:lineRule="auto" w:line="360"/>
        <w:ind w:hanging="0" w:start="1296" w:end="1296"/>
        <w:rPr/>
      </w:pPr>
      <w:r>
        <w:rPr/>
        <w:t>3)</w:t>
        <w:tab/>
        <w:t xml:space="preserve">The same will be true under the CSA.  SoCalGas will be dependent on operating its intrastate transmission efficiently around the clock in order to maximize throughput on the system.  The alternative is that shareholders will absorb 100% of the costs which cannot be recovered due to system operational problems.    </w:t>
      </w:r>
    </w:p>
    <w:p>
      <w:pPr>
        <w:pStyle w:val="BodyText"/>
        <w:ind w:firstLine="720" w:end="0"/>
        <w:rPr/>
      </w:pPr>
      <w:r>
        <w:rPr/>
        <w:tab/>
        <w:t>Thus, even without the benefit of a crystal ball, the Commission has a sound basis to conclude that the CSA will provide SoCalGas with the proper incentives to maintain and operate its system safely and reliably.  Equally important is that there will be no change in the SoCalGas personnel assigned to the operational function.</w:t>
      </w:r>
      <w:r>
        <w:rPr>
          <w:rStyle w:val="FootnoteCharacters"/>
          <w:rStyle w:val="FootnoteReference"/>
        </w:rPr>
        <w:footnoteReference w:id="64"/>
      </w:r>
    </w:p>
    <w:p>
      <w:pPr>
        <w:pStyle w:val="BodyText"/>
        <w:ind w:firstLine="720" w:end="0"/>
        <w:rPr/>
      </w:pPr>
      <w:r>
        <w:rPr/>
        <w:t xml:space="preserve">Turning to the other specific benefits of the CSA, it is ironic that one of the opponents of the settlement is a group of electric generators when the record is so replete with evidence that electric generators will benefit from the CSA.  Vernon witness Beach calculated that electric generation (“EG”) customers will benefit from approximately $9 million a year in lower commodity prices at the citygate, in addition to an additional $3 million a year in reduced transportation costs.  He contrasted the total of $12 million in annual benefits to the EG customers share of implementation costs for the CSA, which were approximately $600,000 a </w:t>
      </w:r>
    </w:p>
    <w:p>
      <w:pPr>
        <w:pStyle w:val="BodyText"/>
        <w:ind w:hanging="0" w:end="0"/>
        <w:rPr/>
      </w:pPr>
      <w:r>
        <w:rPr/>
        <w:t>year.</w:t>
      </w:r>
      <w:r>
        <w:rPr>
          <w:rStyle w:val="FootnoteCharacters"/>
          <w:rStyle w:val="FootnoteReference"/>
        </w:rPr>
        <w:footnoteReference w:id="65"/>
      </w:r>
      <w:r>
        <w:rPr/>
        <w:t xml:space="preserve">  This simple calculation does not even attempt to quantify other significant benefits for</w:t>
      </w:r>
      <w:r>
        <w:br w:type="page"/>
      </w:r>
    </w:p>
    <w:p>
      <w:pPr>
        <w:pStyle w:val="BodyText"/>
        <w:ind w:hanging="0" w:end="0"/>
        <w:rPr/>
      </w:pPr>
      <w:r>
        <w:rPr/>
        <w:t>noncore customers, including the EG customers class.  There is reduced risk of bearing stranded costs for the EG class and all other noncore customers.  As the CSA will result in SoCalGas bearing 100% of the risk of stranded transmission and storage costs, the noncore will avoid substantial sums which could have been imposed on them using the risk sharing and balancing account procedures in place today.  In addition, these same customers are relieved of the regulatory risk of increasing costs in BCAP proceedings until 2006, as the embedded costs, subject to an agreed-upon escalation procedure, are fixed until that date.  The defined load factor in the intrastate transmission rate design provides similar certainty for a lengthy period of time.</w:t>
      </w:r>
      <w:r>
        <w:rPr>
          <w:rStyle w:val="FootnoteCharacters"/>
          <w:rStyle w:val="FootnoteReference"/>
        </w:rPr>
        <w:footnoteReference w:id="66"/>
      </w:r>
      <w:r>
        <w:rPr/>
        <w:t xml:space="preserve">  It goes without saying that if these provisions provide cost savings and fuel cost stability for electric generators, they provide indirect benefits to all electric consumers in California.  Natural gas costs are the major variable cost component of the cost of electricity, and a less expensive, more efficient natural gas supply system can only benefit the electric markets in the long run.</w:t>
      </w:r>
    </w:p>
    <w:p>
      <w:pPr>
        <w:pStyle w:val="BodyText"/>
        <w:ind w:firstLine="720" w:end="0"/>
        <w:rPr/>
      </w:pPr>
      <w:r>
        <w:rPr/>
        <w:tab/>
        <w:t>The testimony of Enron witness Dasovich reiterated that the expense and uncertain outcome of contested ratemaking cases, such as the BCAP, represent a substantial risk to even large corporations.</w:t>
      </w:r>
      <w:r>
        <w:rPr>
          <w:rStyle w:val="FootnoteCharacters"/>
          <w:rStyle w:val="FootnoteReference"/>
        </w:rPr>
        <w:footnoteReference w:id="67"/>
      </w:r>
      <w:r>
        <w:rPr/>
        <w:t xml:space="preserve">  The reduction in regulatory risk from having a stable well defined ratemaking process until the year 2006 cannot be underestimated.  Simply avoiding the fights over the resource plans used to develop LRMC storage and transmission rates is a substantial savings for all parties.  It is more than a little ironic that the two parties seeking to preserve LRMC ratemaking (TURN and SCGC) actually presented conflicting testimony on resource plans in the last BCAP. </w:t>
      </w:r>
    </w:p>
    <w:p>
      <w:pPr>
        <w:pStyle w:val="BodyText"/>
        <w:ind w:firstLine="720" w:end="0"/>
        <w:rPr/>
      </w:pPr>
      <w:r>
        <w:rPr/>
        <w:tab/>
        <w:t>The benefits from avoiding further regulatory conflict over these issues should be</w:t>
      </w:r>
      <w:r>
        <w:br w:type="page"/>
      </w:r>
    </w:p>
    <w:p>
      <w:pPr>
        <w:pStyle w:val="BodyText"/>
        <w:ind w:hanging="0" w:end="0"/>
        <w:rPr/>
      </w:pPr>
      <w:r>
        <w:rPr/>
        <w:t>carefully evaluated.  Frankly, if Commission were to adopt the Post Interim Settlement, all of the parties in this case would be condemned, like Bill Murray in “Ground Hog Day”, to relive this proceeding over and over again.  This is not merely because the Post Interim Settlement delays important reforms regarding unbundled storage and balancing to future BCAP proceedings.  It is because the basic unbundled, open access structure encompassed within the CSA is so logical</w:t>
      </w:r>
      <w:r>
        <w:rPr>
          <w:u w:val="single"/>
        </w:rPr>
        <w:t>,</w:t>
      </w:r>
      <w:r>
        <w:rPr/>
        <w:t xml:space="preserve"> compelling, and compatible with the regulatory systems governing all of the utility and interstate pipeline systems which interconnect with SoCalGas, that the proponents of the CSA would continue to litigate these issues before the Commission until they were adopted.  It is time to stop the merry-go-round and finish the job started in the mid-1980s when the Commission first began to permit limited open access transportation on the utilities’ systems.  </w:t>
      </w:r>
    </w:p>
    <w:p>
      <w:pPr>
        <w:pStyle w:val="BodyText"/>
        <w:ind w:hanging="0" w:end="0"/>
        <w:rPr/>
      </w:pPr>
      <w:r>
        <w:rPr/>
        <w:tab/>
        <w:tab/>
        <w:t>Equally important are the benefits to the core of adopting CSA, especially core residential customers.  The supporters of the CSA, including ORA, believe that there are substantial savings and benefits for core customers in the settlement, which warrant the full support of representatives of core customers.  ORA witness Pocta specifically described benefits and savings for core customers in each of the major capacity areas: interstate core capacity unbundling</w:t>
      </w:r>
      <w:r>
        <w:rPr>
          <w:rStyle w:val="FootnoteCharacters"/>
          <w:rStyle w:val="FootnoteReference"/>
        </w:rPr>
        <w:footnoteReference w:id="68"/>
      </w:r>
      <w:r>
        <w:rPr/>
        <w:t>, intrastate capacity unbundling</w:t>
      </w:r>
      <w:r>
        <w:rPr>
          <w:rStyle w:val="FootnoteCharacters"/>
          <w:rStyle w:val="FootnoteReference"/>
        </w:rPr>
        <w:footnoteReference w:id="69"/>
      </w:r>
      <w:r>
        <w:rPr/>
        <w:t>, capacity allocation</w:t>
      </w:r>
      <w:r>
        <w:rPr>
          <w:rStyle w:val="FootnoteCharacters"/>
          <w:rStyle w:val="FootnoteReference"/>
        </w:rPr>
        <w:footnoteReference w:id="70"/>
      </w:r>
      <w:r>
        <w:rPr/>
        <w:t>, storage</w:t>
      </w:r>
      <w:r>
        <w:rPr>
          <w:rStyle w:val="FootnoteCharacters"/>
          <w:rStyle w:val="FootnoteReference"/>
        </w:rPr>
        <w:footnoteReference w:id="71"/>
      </w:r>
      <w:r>
        <w:rPr/>
        <w:t>, and  balancing.</w:t>
      </w:r>
      <w:r>
        <w:rPr>
          <w:rStyle w:val="FootnoteCharacters"/>
          <w:rStyle w:val="FootnoteReference"/>
        </w:rPr>
        <w:footnoteReference w:id="72"/>
      </w:r>
      <w:r>
        <w:rPr/>
        <w:t xml:space="preserve">   In addition, SoCalGas witness Lorenz noted a number of other benefits for core customers not captured in the strict numerical calculation of core savings contained in Attachment 8 of his Exhibit 2.  These include: </w:t>
      </w:r>
      <w:r>
        <w:br w:type="page"/>
      </w:r>
    </w:p>
    <w:p>
      <w:pPr>
        <w:pStyle w:val="BodyText"/>
        <w:ind w:hanging="0" w:end="0"/>
        <w:rPr/>
      </w:pPr>
      <w:r>
        <w:rPr/>
      </w:r>
    </w:p>
    <w:p>
      <w:pPr>
        <w:pStyle w:val="BodyText"/>
        <w:spacing w:lineRule="auto" w:line="360"/>
        <w:ind w:hanging="864" w:start="2160" w:end="1296"/>
        <w:rPr/>
      </w:pPr>
      <w:r>
        <w:rPr/>
        <w:t>¤</w:t>
        <w:tab/>
        <w:t>Revenues the core could earn by brokering interstate capacity in the capacity release market</w:t>
      </w:r>
    </w:p>
    <w:p>
      <w:pPr>
        <w:pStyle w:val="BodyText"/>
        <w:spacing w:lineRule="auto" w:line="360"/>
        <w:ind w:hanging="864" w:start="2160" w:end="1296"/>
        <w:rPr/>
      </w:pPr>
      <w:r>
        <w:rPr/>
        <w:t>¤</w:t>
        <w:tab/>
        <w:t xml:space="preserve">Secondary market opportunities for selling unneeded core storage, </w:t>
      </w:r>
    </w:p>
    <w:p>
      <w:pPr>
        <w:pStyle w:val="BodyText"/>
        <w:spacing w:lineRule="auto" w:line="360"/>
        <w:ind w:hanging="864" w:start="2160" w:end="1296"/>
        <w:rPr/>
      </w:pPr>
      <w:r>
        <w:rPr/>
        <w:t>¤</w:t>
        <w:tab/>
        <w:t>The additional value from the extra capacity allocated to the core at Topock,</w:t>
      </w:r>
    </w:p>
    <w:p>
      <w:pPr>
        <w:pStyle w:val="BodyText"/>
        <w:spacing w:lineRule="auto" w:line="360"/>
        <w:ind w:hanging="864" w:start="2160" w:end="1296"/>
        <w:rPr/>
      </w:pPr>
      <w:r>
        <w:rPr/>
        <w:t>¤</w:t>
        <w:tab/>
        <w:t>The lower peak day minimum for core usage permits to core to forego 8 Bcf of gas it would otherwise have to acquire for reliability purposes,</w:t>
      </w:r>
    </w:p>
    <w:p>
      <w:pPr>
        <w:pStyle w:val="BodyText"/>
        <w:spacing w:lineRule="auto" w:line="360"/>
        <w:ind w:hanging="864" w:start="2160" w:end="1296"/>
        <w:rPr/>
      </w:pPr>
      <w:r>
        <w:rPr/>
        <w:t>¤</w:t>
        <w:tab/>
        <w:t>The potential revenues from being able to withdraw gas previously required to be held in storage during high-cost winter periods and sell the gas at high prices,</w:t>
      </w:r>
    </w:p>
    <w:p>
      <w:pPr>
        <w:pStyle w:val="BodyText"/>
        <w:spacing w:lineRule="auto" w:line="360"/>
        <w:ind w:hanging="864" w:start="2160" w:end="1296"/>
        <w:rPr/>
      </w:pPr>
      <w:r>
        <w:rPr/>
        <w:t>¤</w:t>
        <w:tab/>
        <w:t>The value the core can obtain from chip-trading during OFO days, as the core will normally have large storage reservations and be an active chip trading candidate,</w:t>
      </w:r>
    </w:p>
    <w:p>
      <w:pPr>
        <w:pStyle w:val="BodyText"/>
        <w:spacing w:lineRule="auto" w:line="360"/>
        <w:ind w:hanging="864" w:start="2160" w:end="1296"/>
        <w:rPr/>
      </w:pPr>
      <w:r>
        <w:rPr/>
        <w:t>¤</w:t>
        <w:tab/>
        <w:t>The value of the increased certainty for core nominations on the transmission system due to the fact that the core can use firm receipt point rights, and need not acquire extra capacity or gas in order to overcome the effects of unexpected windowing.</w:t>
      </w:r>
      <w:r>
        <w:rPr>
          <w:rStyle w:val="FootnoteCharacters"/>
          <w:rStyle w:val="FootnoteReference"/>
        </w:rPr>
        <w:footnoteReference w:id="73"/>
      </w:r>
    </w:p>
    <w:p>
      <w:pPr>
        <w:pStyle w:val="BodyText"/>
        <w:rPr/>
      </w:pPr>
      <w:r>
        <w:rPr/>
        <w:t xml:space="preserve">Under the CSA the core will have a large and varied number of opportunities to earn extra value with the assets it has been allocated.  They are reflective of the types of new opportunities which </w:t>
      </w:r>
      <w:r>
        <w:rPr>
          <w:b/>
        </w:rPr>
        <w:t>all</w:t>
      </w:r>
      <w:r>
        <w:rPr/>
        <w:t xml:space="preserve"> customers will have under the CSA.   </w:t>
      </w:r>
    </w:p>
    <w:p>
      <w:pPr>
        <w:pStyle w:val="BodyText"/>
        <w:rPr/>
      </w:pPr>
      <w:r>
        <w:rPr/>
        <w:t>In addition, the core may see additional cost savings from the unbundled interstate capacity, storage and balancing which CAT providers may offer core customers, more completely described in the Initial Brief of the Core Aggregators In Support of the Comprehensive Settlement.  Enron and WGSI urge the Commission to not forget that the failure of the CAT program to attract many core residential customers was not because core customers do not want open access service.  It happened because so many elements of utility bundled service which could be offered competitively were permanently bundled with distribution service, denying CAT providers opportunities to pass savings on to their customers.</w:t>
      </w:r>
      <w:r>
        <w:rPr>
          <w:rStyle w:val="FootnoteCharacters"/>
          <w:rStyle w:val="FootnoteReference"/>
        </w:rPr>
        <w:footnoteReference w:id="74"/>
      </w:r>
      <w:r>
        <w:rPr/>
        <w:t xml:space="preserve">   The Commission should consider the potential opportunities for CAT providers contained in the CSA to be potential opportunities for core customers, because it will be the customers who will benefit if the CAT providers can offer interstate capacity, storage, balancing, imbalance trading services, or the gas commodity at a lower cost than the utility.   Nor is the core dependent on CAT providers to obtain savings in the marketplace.  The core will benefit from a slight reduction in its intrastate capacity allocation, which allows the core to go to citygate market for a portion of its gas requirements.  If the noncore customers in PG&amp;E’s territory are saving money at the citygate, why shouldn’t the SoCalGas core customers do the same? </w:t>
      </w:r>
    </w:p>
    <w:p>
      <w:pPr>
        <w:pStyle w:val="BodyText"/>
        <w:rPr/>
      </w:pPr>
      <w:r>
        <w:rPr/>
        <w:t>One final benefit to all customers classes, including the core, is that the CSA can be implemented without a substantial shifting of costs to any customer class (save for the effect of the core being relieved of its contribution to ITCS).</w:t>
      </w:r>
      <w:r>
        <w:rPr>
          <w:rStyle w:val="FootnoteCharacters"/>
          <w:rStyle w:val="FootnoteReference"/>
        </w:rPr>
        <w:footnoteReference w:id="75"/>
      </w:r>
      <w:r>
        <w:rPr/>
        <w:t xml:space="preserve">  That in and of itself is a substantial benefit, and a key to the broad support the settlement has received.  </w:t>
      </w:r>
    </w:p>
    <w:p>
      <w:pPr>
        <w:pStyle w:val="BodyText"/>
        <w:ind w:firstLine="720" w:end="0"/>
        <w:rPr>
          <w:u w:val="single"/>
        </w:rPr>
      </w:pPr>
      <w:r>
        <w:rPr/>
        <w:t>H.</w:t>
        <w:tab/>
      </w:r>
      <w:r>
        <w:rPr>
          <w:u w:val="single"/>
        </w:rPr>
        <w:t>Implementation Process</w:t>
      </w:r>
    </w:p>
    <w:p>
      <w:pPr>
        <w:pStyle w:val="BodyText"/>
        <w:ind w:hanging="0" w:end="0"/>
        <w:rPr/>
      </w:pPr>
      <w:r>
        <w:rPr/>
        <w:tab/>
        <w:tab/>
        <w:t xml:space="preserve">Enron and WGSI support the Implementation process described by SoCalGas in its opening brief in this proceeding.  A phased implementation process is appropriate given the number of significant reforms being implemented in a single settlement.  In addition, the </w:t>
      </w:r>
      <w:r>
        <w:br w:type="page"/>
      </w:r>
    </w:p>
    <w:p>
      <w:pPr>
        <w:pStyle w:val="BodyText"/>
        <w:ind w:hanging="0" w:end="0"/>
        <w:rPr/>
      </w:pPr>
      <w:r>
        <w:rPr/>
        <w:t xml:space="preserve">compliance tariff—workshop approach being suggested by SoCalGas is substantially similar to that being followed to implement the PG&amp;E settlement approved by the Commission.  There is no reason to believe that process is not adequate for the CSA as well. </w:t>
      </w:r>
    </w:p>
    <w:p>
      <w:pPr>
        <w:pStyle w:val="BodyText"/>
        <w:ind w:hanging="0" w:end="0"/>
        <w:rPr/>
      </w:pPr>
      <w:r>
        <w:rPr/>
      </w:r>
    </w:p>
    <w:p>
      <w:pPr>
        <w:pStyle w:val="BodyText"/>
        <w:spacing w:lineRule="auto" w:line="240"/>
        <w:ind w:hanging="720" w:start="720" w:end="0"/>
        <w:rPr>
          <w:caps/>
        </w:rPr>
      </w:pPr>
      <w:r>
        <w:rPr>
          <w:b/>
          <w:caps/>
        </w:rPr>
        <w:t>iii.</w:t>
        <w:tab/>
        <w:t xml:space="preserve">the interim/post-interim settlement is premised on fundamental misperceptions of the california gas market,  AND does not advance the public interest. </w:t>
      </w:r>
    </w:p>
    <w:p>
      <w:pPr>
        <w:pStyle w:val="BodyText"/>
        <w:ind w:hanging="0" w:end="0"/>
        <w:rPr>
          <w:caps/>
        </w:rPr>
      </w:pPr>
      <w:r>
        <w:rPr>
          <w:caps/>
        </w:rPr>
      </w:r>
    </w:p>
    <w:p>
      <w:pPr>
        <w:pStyle w:val="BodyText"/>
        <w:ind w:hanging="0" w:end="0"/>
        <w:rPr/>
      </w:pPr>
      <w:r>
        <w:rPr>
          <w:caps/>
        </w:rPr>
        <w:tab/>
        <w:tab/>
        <w:t>e</w:t>
      </w:r>
      <w:r>
        <w:rPr/>
        <w:t xml:space="preserve">nron and WGSI oppose the combination of the Interim Settlement/Post Interim Settlement on multiple grounds:  </w:t>
      </w:r>
    </w:p>
    <w:p>
      <w:pPr>
        <w:pStyle w:val="BodyText"/>
        <w:numPr>
          <w:ilvl w:val="0"/>
          <w:numId w:val="2"/>
        </w:numPr>
        <w:tabs>
          <w:tab w:val="clear" w:pos="720"/>
          <w:tab w:val="left" w:pos="360" w:leader="none"/>
        </w:tabs>
        <w:spacing w:lineRule="auto" w:line="360"/>
        <w:ind w:hanging="0" w:start="1296" w:end="1296"/>
        <w:rPr/>
      </w:pPr>
      <w:r>
        <w:rPr/>
        <w:t xml:space="preserve">The Post Interim Settlement does not permit full open access transmission on the intrastate system; </w:t>
      </w:r>
    </w:p>
    <w:p>
      <w:pPr>
        <w:pStyle w:val="BodyText"/>
        <w:numPr>
          <w:ilvl w:val="0"/>
          <w:numId w:val="2"/>
        </w:numPr>
        <w:tabs>
          <w:tab w:val="clear" w:pos="720"/>
          <w:tab w:val="left" w:pos="360" w:leader="none"/>
        </w:tabs>
        <w:spacing w:lineRule="auto" w:line="360"/>
        <w:ind w:hanging="0" w:start="1296" w:end="1296"/>
        <w:rPr/>
      </w:pPr>
      <w:r>
        <w:rPr/>
        <w:t>It needlessly delays the full unbundling of storage and balancing service, thereby depriving customers of the resulting benefits</w:t>
      </w:r>
      <w:r>
        <w:rPr>
          <w:rStyle w:val="FootnoteCharacters"/>
          <w:rStyle w:val="FootnoteReference"/>
        </w:rPr>
        <w:footnoteReference w:id="76"/>
      </w:r>
      <w:r>
        <w:rPr/>
        <w:t xml:space="preserve">; </w:t>
      </w:r>
    </w:p>
    <w:p>
      <w:pPr>
        <w:pStyle w:val="BodyText"/>
        <w:numPr>
          <w:ilvl w:val="0"/>
          <w:numId w:val="2"/>
        </w:numPr>
        <w:tabs>
          <w:tab w:val="clear" w:pos="720"/>
          <w:tab w:val="left" w:pos="360" w:leader="none"/>
        </w:tabs>
        <w:spacing w:lineRule="auto" w:line="360"/>
        <w:ind w:hanging="0" w:start="1296" w:end="1296"/>
        <w:rPr/>
      </w:pPr>
      <w:r>
        <w:rPr/>
        <w:t>It does not resolve the problems customers face at the SoCalGas receipt points, it merely transfers the current windowing process further upstream</w:t>
      </w:r>
      <w:r>
        <w:rPr>
          <w:rStyle w:val="FootnoteCharacters"/>
          <w:rStyle w:val="FootnoteReference"/>
        </w:rPr>
        <w:footnoteReference w:id="77"/>
      </w:r>
      <w:r>
        <w:rPr/>
        <w:t>;</w:t>
      </w:r>
    </w:p>
    <w:p>
      <w:pPr>
        <w:pStyle w:val="BodyText"/>
        <w:numPr>
          <w:ilvl w:val="0"/>
          <w:numId w:val="2"/>
        </w:numPr>
        <w:tabs>
          <w:tab w:val="clear" w:pos="720"/>
          <w:tab w:val="left" w:pos="360" w:leader="none"/>
        </w:tabs>
        <w:spacing w:lineRule="auto" w:line="360"/>
        <w:ind w:hanging="0" w:start="1296" w:end="1296"/>
        <w:rPr/>
      </w:pPr>
      <w:r>
        <w:rPr/>
        <w:t>The settlement will not permit the creation of secondary markets for transmission, storage, or balancing services;</w:t>
      </w:r>
    </w:p>
    <w:p>
      <w:pPr>
        <w:pStyle w:val="BodyText"/>
        <w:numPr>
          <w:ilvl w:val="0"/>
          <w:numId w:val="2"/>
        </w:numPr>
        <w:tabs>
          <w:tab w:val="clear" w:pos="720"/>
          <w:tab w:val="left" w:pos="360" w:leader="none"/>
        </w:tabs>
        <w:spacing w:lineRule="auto" w:line="360"/>
        <w:ind w:hanging="0" w:start="1296" w:end="1296"/>
        <w:rPr/>
      </w:pPr>
      <w:r>
        <w:rPr/>
        <w:t>The interstate core capacity unbundling proposal contained in the Post Interim Settlement is unfair to SoCalGas and will increase costs for all shippers</w:t>
      </w:r>
      <w:r>
        <w:rPr>
          <w:rStyle w:val="FootnoteCharacters"/>
          <w:rStyle w:val="FootnoteReference"/>
        </w:rPr>
        <w:footnoteReference w:id="78"/>
      </w:r>
      <w:r>
        <w:rPr/>
        <w:t>;</w:t>
      </w:r>
    </w:p>
    <w:p>
      <w:pPr>
        <w:pStyle w:val="BodyText"/>
        <w:numPr>
          <w:ilvl w:val="0"/>
          <w:numId w:val="2"/>
        </w:numPr>
        <w:tabs>
          <w:tab w:val="clear" w:pos="720"/>
          <w:tab w:val="left" w:pos="360" w:leader="none"/>
        </w:tabs>
        <w:spacing w:lineRule="auto" w:line="360"/>
        <w:ind w:hanging="0" w:start="1296" w:end="1296"/>
        <w:rPr/>
      </w:pPr>
      <w:r>
        <w:rPr/>
        <w:t>The Commission and the parties will remain mired in endless regulatory disputes over LRMC ratemaking and further attempts to unbundle the capacity systems;</w:t>
      </w:r>
    </w:p>
    <w:p>
      <w:pPr>
        <w:pStyle w:val="BodyText"/>
        <w:numPr>
          <w:ilvl w:val="0"/>
          <w:numId w:val="2"/>
        </w:numPr>
        <w:tabs>
          <w:tab w:val="clear" w:pos="720"/>
          <w:tab w:val="left" w:pos="360" w:leader="none"/>
        </w:tabs>
        <w:spacing w:lineRule="auto" w:line="360"/>
        <w:ind w:hanging="0" w:start="1296" w:end="1296"/>
        <w:rPr/>
      </w:pPr>
      <w:r>
        <w:rPr/>
        <w:t>The claims of the supporters of the Post Interim Settlement that the CSA will increase transaction costs for customers, place customers at a financial disadvantage vis a vis marketers, and cause a bottleneck on the SoCalGas intrastate transmission system are entirely untrue; and</w:t>
      </w:r>
    </w:p>
    <w:p>
      <w:pPr>
        <w:pStyle w:val="BodyText"/>
        <w:numPr>
          <w:ilvl w:val="0"/>
          <w:numId w:val="2"/>
        </w:numPr>
        <w:tabs>
          <w:tab w:val="clear" w:pos="720"/>
          <w:tab w:val="left" w:pos="360" w:leader="none"/>
        </w:tabs>
        <w:spacing w:lineRule="auto" w:line="360"/>
        <w:ind w:hanging="0" w:start="1296" w:end="1296"/>
        <w:rPr/>
      </w:pPr>
      <w:r>
        <w:rPr/>
        <w:t>The primary goal of the Post Interim Settlement supporters, to avoid a reservation charge rate design because it is more harmful to EG customers than a purely volumetric rate, is so completely undermined by faulty assumptions and miscalculations that it should be accorded no weight whatsoever.</w:t>
      </w:r>
    </w:p>
    <w:p>
      <w:pPr>
        <w:pStyle w:val="BodyText"/>
        <w:ind w:firstLine="1080" w:end="0"/>
        <w:rPr/>
      </w:pPr>
      <w:r>
        <w:rPr/>
        <w:t xml:space="preserve">Debunking the allegations of the Post Interim Settlement supporters is an easy task, given the record in this proceeding.  The claim that shippers will face excessive transaction costs under the CSA is disproven by the experience on the PG&amp;E system.  There, customers purchasing at the citygate have paid </w:t>
      </w:r>
      <w:r>
        <w:rPr>
          <w:u w:val="single"/>
        </w:rPr>
        <w:t xml:space="preserve">less </w:t>
      </w:r>
      <w:r>
        <w:rPr/>
        <w:t>than the tariffed rate for transportation plus the border price of gas.</w:t>
      </w:r>
      <w:r>
        <w:rPr>
          <w:rStyle w:val="FootnoteCharacters"/>
          <w:rStyle w:val="FootnoteReference"/>
        </w:rPr>
        <w:footnoteReference w:id="79"/>
      </w:r>
      <w:r>
        <w:rPr/>
        <w:t xml:space="preserve">  Effectively, the transaction costs in that situation are </w:t>
      </w:r>
      <w:r>
        <w:rPr>
          <w:u w:val="single"/>
        </w:rPr>
        <w:t>negative</w:t>
      </w:r>
      <w:r>
        <w:rPr/>
        <w:t>.  This has been true even though PG&amp;E has less excess intrastate capacity than SoCalGas.</w:t>
      </w:r>
      <w:r>
        <w:rPr>
          <w:rStyle w:val="FootnoteCharacters"/>
          <w:rStyle w:val="FootnoteReference"/>
        </w:rPr>
        <w:footnoteReference w:id="80"/>
      </w:r>
      <w:r>
        <w:rPr/>
        <w:t xml:space="preserve">  </w:t>
      </w:r>
    </w:p>
    <w:p>
      <w:pPr>
        <w:pStyle w:val="BodyText"/>
        <w:ind w:hanging="0" w:end="0"/>
        <w:rPr/>
      </w:pPr>
      <w:r>
        <w:rPr/>
        <w:tab/>
        <w:tab/>
        <w:t>Similarly Enron and WGSI forcefully reject the assertion of SCGC that a demand charge system will force customers to use the services of marketers “with a complex agenda”</w:t>
      </w:r>
      <w:r>
        <w:rPr>
          <w:rStyle w:val="FootnoteCharacters"/>
          <w:rStyle w:val="FootnoteReference"/>
        </w:rPr>
        <w:footnoteReference w:id="81"/>
      </w:r>
      <w:r>
        <w:rPr>
          <w:b/>
        </w:rPr>
        <w:t xml:space="preserve"> </w:t>
      </w:r>
      <w:r>
        <w:rPr/>
        <w:t>presumably placing the EG customers with “simplistic motives” at an unfair advantage.  The responses to this misguided assertion are many.  First, some of the members of SCGC are themselves sophisticated owners and operators of electric generation merchant plants who are skilled in monitoring both gas and electric prices.</w:t>
      </w:r>
      <w:r>
        <w:rPr>
          <w:rStyle w:val="FootnoteCharacters"/>
          <w:rStyle w:val="FootnoteReference"/>
        </w:rPr>
        <w:footnoteReference w:id="82"/>
      </w:r>
      <w:r>
        <w:rPr/>
        <w:t xml:space="preserve">  Their agendas are equally “complex” – trying to maximize a return in the volatile California electric market.  The other members of SCGC are municipal utility companies who have been purchasing natural gas over the interstate systems for years.  These are not naïve amateurs.  In fact, they are themselves “marketers” to the extent they buy or sell electricity or natural gas in the California market.  </w:t>
      </w:r>
    </w:p>
    <w:p>
      <w:pPr>
        <w:pStyle w:val="BodyText"/>
        <w:rPr/>
      </w:pPr>
      <w:r>
        <w:rPr/>
        <w:t>Nor are marketers a new and dangerous phenomenon as SCGC would imply.  SoCalGas witness Lorenz revealed that 85% of the noncore customers of SoCalGas already use the services of a marketer.</w:t>
      </w:r>
      <w:r>
        <w:rPr>
          <w:rStyle w:val="FootnoteCharacters"/>
          <w:rStyle w:val="FootnoteReference"/>
        </w:rPr>
        <w:footnoteReference w:id="83"/>
      </w:r>
      <w:r>
        <w:rPr/>
        <w:t xml:space="preserve">  Marketers perform a useful role in the commodity and capacity markets, and they have since the early 1990’s.  As Vernon witness Beach testified, they will continue to do so because the competition between marketers will require that marketers pass on to customers the savings from acquiring valuable capacity rights.</w:t>
      </w:r>
      <w:r>
        <w:rPr>
          <w:rStyle w:val="FootnoteCharacters"/>
          <w:rStyle w:val="FootnoteReference"/>
        </w:rPr>
        <w:footnoteReference w:id="84"/>
      </w:r>
      <w:r>
        <w:rPr/>
        <w:t xml:space="preserve">  It is without merit to try to paint marketers as scapegoats to support the fatally flawed notion that customers are incapable of operating under demand charge-based system.  If, as SCGC witness Yap’s exhibit</w:t>
      </w:r>
      <w:r>
        <w:rPr>
          <w:rStyle w:val="FootnoteCharacters"/>
          <w:rStyle w:val="FootnoteReference"/>
        </w:rPr>
        <w:footnoteReference w:id="85"/>
      </w:r>
      <w:r>
        <w:rPr/>
        <w:t xml:space="preserve"> claims, many customers on the PG&amp;E system chose to buy at the citygate instead of acquiring firm capacity, it would appear to be because they were smart enough to induce marketers the risk of holding the capacity so they could buy the discounted citygate gas.  Who needs to be protected from whom?</w:t>
      </w:r>
    </w:p>
    <w:p>
      <w:pPr>
        <w:pStyle w:val="BodyText"/>
        <w:ind w:hanging="0" w:end="0"/>
        <w:rPr/>
      </w:pPr>
      <w:r>
        <w:rPr/>
        <w:tab/>
        <w:tab/>
        <w:t>Equally unfounded is the SCGC assertion that unbundling the intrastate transmission system of SoCalGas will lead to a “bottleneck” on the system because there is not the same excess capacity at the citygate that there is at the various border receipt points on the SoCalGas system.  SoCalGas flatly denies that there is any potential for a bottleneck at the citygate.</w:t>
      </w:r>
      <w:r>
        <w:rPr>
          <w:rStyle w:val="FootnoteCharacters"/>
          <w:rStyle w:val="FootnoteReference"/>
        </w:rPr>
        <w:footnoteReference w:id="86"/>
      </w:r>
      <w:r>
        <w:rPr/>
        <w:t xml:space="preserve">  More to the point, SCGC witness Yap has made yet another miscalculation in analyzing the citygate situation.  SoCalGas can deliver over 3 Bcf of gas per day from storage </w:t>
      </w:r>
      <w:r>
        <w:br w:type="page"/>
      </w:r>
    </w:p>
    <w:p>
      <w:pPr>
        <w:pStyle w:val="BodyText"/>
        <w:ind w:hanging="0" w:end="0"/>
        <w:rPr/>
      </w:pPr>
      <w:r>
        <w:rPr/>
        <w:t>into the citygate, without diminishing the 3.5 Bcf of flowing gas supplies on the intrastate system.</w:t>
      </w:r>
      <w:r>
        <w:rPr>
          <w:rStyle w:val="FootnoteCharacters"/>
          <w:rStyle w:val="FootnoteReference"/>
        </w:rPr>
        <w:footnoteReference w:id="87"/>
      </w:r>
      <w:r>
        <w:rPr/>
        <w:t xml:space="preserve">  This ensures that there will be no bottleneck at the citygate.  On the contrary, the presence of this much excess capacity in the form of storage withdrawals ensures that there will be downward pressure on prices at the citygate much of the time.</w:t>
      </w:r>
    </w:p>
    <w:p>
      <w:pPr>
        <w:pStyle w:val="BodyText"/>
        <w:ind w:hanging="0" w:end="0"/>
        <w:rPr/>
      </w:pPr>
      <w:r>
        <w:rPr/>
        <w:tab/>
        <w:tab/>
        <w:t>Finally, the argument of the Post Interim Settlement supporters that a demand charge rate design will cost EG customers more money in comparison to a volumetric rate has been convincingly undermined by Vernon witness Beach.  When confronted on the stand with Beach’s rebuttal testimony that the demand charge represented only 22 percent of the EG customers’ delivered cost of gas, SCGC witness Yap had no response.</w:t>
      </w:r>
      <w:r>
        <w:rPr>
          <w:rStyle w:val="FootnoteCharacters"/>
          <w:rStyle w:val="FootnoteReference"/>
        </w:rPr>
        <w:footnoteReference w:id="88"/>
      </w:r>
      <w:r>
        <w:rPr/>
        <w:t xml:space="preserve">   If the EG customers adopt the 50-50% rate design option in the SoCalGas Open Season (which is clearly a better option for low load factor customers) the demand charge becomes only 12% of the delivered cost of gas.</w:t>
      </w:r>
      <w:r>
        <w:rPr>
          <w:rStyle w:val="FootnoteCharacters"/>
          <w:rStyle w:val="FootnoteReference"/>
        </w:rPr>
        <w:footnoteReference w:id="89"/>
      </w:r>
      <w:r>
        <w:rPr/>
        <w:t xml:space="preserve">  In addition, SCGC witness Yap based her calculation of increased costs on highly unlikely assumptions, using the theoretical maximum use of a power plant applied over an entire year, when there is no evidence whatsoever that these old, inefficient plants could operate at that level.  Mr. Beach calculated that the Yap calculation overstated the actual maximum sendout of gas to the EG plants by a factor of 2.</w:t>
      </w:r>
      <w:r>
        <w:rPr>
          <w:rStyle w:val="FootnoteCharacters"/>
          <w:rStyle w:val="FootnoteReference"/>
        </w:rPr>
        <w:footnoteReference w:id="90"/>
      </w:r>
      <w:r>
        <w:rPr/>
        <w:t xml:space="preserve">  As for any premium which might be incurred by EG customers, witness Beach calculated that if the EG customers purchased only interruptible gas supplies, relying on the excess capacity on the intrastate system to assure the availability of interruptible capacity in the same way that generators use the excess capacity on the interstate system, the cost increase for EG customers would only be 6/10ths of one percent, annually.  This is not compelling evidence of a burdensome rate increase.</w:t>
      </w:r>
    </w:p>
    <w:p>
      <w:pPr>
        <w:pStyle w:val="BodyText"/>
        <w:ind w:hanging="0" w:end="0"/>
        <w:rPr/>
      </w:pPr>
      <w:r>
        <w:rPr/>
        <w:tab/>
        <w:tab/>
        <w:t>Nor  is SCGC persuasive in its attempt to convince the Commission that EG customers cannot tolerate demand charges in the first place.  As indicated above, SCGC witness Yap assumed that generators would contract for 100% of their demand for a full year on a firm basis.</w:t>
      </w:r>
      <w:r>
        <w:rPr>
          <w:rStyle w:val="FootnoteCharacters"/>
          <w:rStyle w:val="FootnoteReference"/>
        </w:rPr>
        <w:footnoteReference w:id="91"/>
      </w:r>
      <w:r>
        <w:rPr/>
        <w:t xml:space="preserve">  The evidence provided by the municipal utility members of SCGC proves that they do not contract for firm capacity in that manner.  In fact, to the contrary, they generally subscribe to firm interstate capacity of between a third and a half of their peak requirements.</w:t>
      </w:r>
      <w:r>
        <w:rPr>
          <w:rStyle w:val="FootnoteCharacters"/>
          <w:rStyle w:val="FootnoteReference"/>
        </w:rPr>
        <w:footnoteReference w:id="92"/>
      </w:r>
      <w:r>
        <w:rPr/>
        <w:t xml:space="preserve">  In addition, the City of Glendale voluntarily entered into an agreement to purchase a portion of a PG&amp;E intrastate pipeline, thereby indicating its willingness to incur very significant commitments that are just as firm as a demand charge, and to bear all the costs involved in managing such capacity permanently.</w:t>
      </w:r>
      <w:r>
        <w:rPr>
          <w:rStyle w:val="FootnoteCharacters"/>
          <w:rStyle w:val="FootnoteReference"/>
        </w:rPr>
        <w:footnoteReference w:id="93"/>
      </w:r>
      <w:r>
        <w:rPr/>
        <w:t xml:space="preserve">  The Commission should not permit the supporters of the Post Interim Settlement to cling to the concept of all-volumetric rates and deny all other customers the certainty which comes with firm tradable capacity rights particularly, when SWCGC’s own members voluntarily enter into similar commitments on a regular basis. </w:t>
      </w:r>
    </w:p>
    <w:p>
      <w:pPr>
        <w:pStyle w:val="BodyText"/>
        <w:ind w:hanging="0" w:end="0"/>
        <w:rPr/>
      </w:pPr>
      <w:r>
        <w:rPr/>
      </w:r>
    </w:p>
    <w:p>
      <w:pPr>
        <w:pStyle w:val="BodyText"/>
        <w:spacing w:lineRule="auto" w:line="240"/>
        <w:ind w:hanging="720" w:start="720" w:end="0"/>
        <w:rPr>
          <w:b/>
        </w:rPr>
      </w:pPr>
      <w:r>
        <w:rPr>
          <w:b/>
        </w:rPr>
        <w:t>IV.</w:t>
        <w:tab/>
        <w:t>THE COMMISSION SHOULD APPROVE THE COMPREHENSIVE SETTLEMENT AS THE CAPSTONE OF ITS SUBSTANTIAL ACCOMPLISHMENTS IN THE RESTRUCTURING OF THE CALIFORNIA NATURAL GAS INDUSTRY.</w:t>
      </w:r>
    </w:p>
    <w:p>
      <w:pPr>
        <w:pStyle w:val="BodyText"/>
        <w:ind w:hanging="0" w:end="0"/>
        <w:rPr>
          <w:b/>
        </w:rPr>
      </w:pPr>
      <w:r>
        <w:rPr>
          <w:b/>
        </w:rPr>
      </w:r>
    </w:p>
    <w:p>
      <w:pPr>
        <w:pStyle w:val="BodyText"/>
        <w:ind w:hanging="0" w:end="0"/>
        <w:rPr/>
      </w:pPr>
      <w:r>
        <w:rPr/>
        <w:tab/>
        <w:tab/>
        <w:t xml:space="preserve">The Comprehensive Settlement Agreement represents a very successful outcome for the Commission.  The Commission exercised its leadership and strongly encouraged the parties to reconsider settlement, with the result that important and substantive settlements were </w:t>
      </w:r>
      <w:r>
        <w:br w:type="page"/>
      </w:r>
    </w:p>
    <w:p>
      <w:pPr>
        <w:pStyle w:val="BodyText"/>
        <w:ind w:hanging="0" w:end="0"/>
        <w:rPr/>
      </w:pPr>
      <w:r>
        <w:rPr/>
        <w:t>reached on both the PG&amp;E and SoCalGas systems.  Given that the SoCalGas system had not even commenced the unbundling process as PG&amp;E had done with the Gas Accord, to accomplish in one single settlement the full transition from a bundled system to an open access, unbundled transmission, storage and balancing system, complete with state of the art imbalance trading systems, is quite remarkable.   Better still is the fact the CSA accomplishes this beneficial restructuring of the SoCalGas system without substantial cost shifts among customers.  The settlement consciously takes advantage of market pressures to help keep gas prices reasonable, while giving all classes of  customers more options to control their own gas supply resources.  The CSA proponents knew that, to be acceptable, their settlement had to be fundamentally fair to all classes of customers.  The CAS supporters believe they have met that goal and urge the Commission to adopt the CSA.  In doing so, the Commission can bring a successful conclusion to one of the most contentious and frustrating aspects of gas restructuring on the SoCalGas system—the unbundling of core interstate capacity.  To accomplish this particular element of the settlement without incurring a major interclass fight over the reallocation of stranded interstate capacity costs is a substantial victory for reason  and fairness over short-sightedness.</w:t>
      </w:r>
    </w:p>
    <w:p>
      <w:pPr>
        <w:pStyle w:val="BodyText"/>
        <w:ind w:hanging="0" w:end="0"/>
        <w:rPr/>
      </w:pPr>
      <w:r>
        <w:rPr/>
        <w:tab/>
        <w:tab/>
        <w:t>In addition, the overall scheme set forth in the CSA is fully consistent with the PG&amp;E system, including elements of both the Gas Accord and the Comprehensive Gas OII Settlement recently approved by the Commission.   Both major gas utilities will now offer fully unbundled, open access transmission, storage and balancing systems, and each utility will eventually be fully at risk for uncontracted assets.  In addition, customers using both systems will have similar, if not identical, options for intrastate capacity, balancing, and storage service.   They will be able to take advantage of similar improvements in the core aggregation programs of both utilities, and take advantage of the new citygate markets in both of the states’ major load centers.    This last innovation will save money both for customers and for the gas suppliers and merchants who serve customers statewide.  It will also avoid distortions in the electric market due to regulatory differences between the two utility service territories.   The Commission well understood that there are clear benefits to statewide consistency in regulation.   There is only one settlement before the Commission which achieves statewide consistency, the Comprehensive Settlement Agreement.  Enron and WGSI, along with representatives of every element of the California gas market, strongly urge the Commission to adopt, intact, the Comprehensive Settlement Agreement, and to reject the “Do Nothing” approach of the Post Interim Settlement.</w:t>
      </w:r>
    </w:p>
    <w:p>
      <w:pPr>
        <w:pStyle w:val="BodyText"/>
        <w:rPr/>
      </w:pPr>
      <w:r>
        <w:rPr/>
      </w:r>
    </w:p>
    <w:p>
      <w:pPr>
        <w:pStyle w:val="BodyText"/>
        <w:keepNext w:val="true"/>
        <w:rPr/>
      </w:pPr>
      <w:r>
        <w:rPr/>
        <w:t>Respectfully submitted this July 10, 2000 at San Francisco, California.</w:t>
      </w:r>
    </w:p>
    <w:p>
      <w:pPr>
        <w:pStyle w:val="PleadingSignature"/>
        <w:spacing w:before="240" w:after="0"/>
        <w:rPr/>
      </w:pPr>
      <w:r>
        <w:rPr/>
        <w:t>GOODIN, MACBRIDE, SQUERI,</w:t>
        <w:br/>
        <w:t>RITCHIE &amp; DAY, LLP</w:t>
      </w:r>
    </w:p>
    <w:p>
      <w:pPr>
        <w:pStyle w:val="PleadingSignature"/>
        <w:rPr/>
      </w:pPr>
      <w:r>
        <w:rPr/>
        <w:t>Michael B. Day</w:t>
      </w:r>
    </w:p>
    <w:p>
      <w:pPr>
        <w:pStyle w:val="PleadingSignature"/>
        <w:tabs>
          <w:tab w:val="left" w:pos="5126" w:leader="none"/>
          <w:tab w:val="left" w:pos="5184" w:leader="none"/>
          <w:tab w:val="right" w:pos="9360" w:leader="none"/>
        </w:tabs>
        <w:rPr/>
      </w:pPr>
      <w:r>
        <w:rPr/>
        <w:t>505 Sansome Street, Suite 900</w:t>
        <w:br/>
        <w:t>San Francisco, California  94111</w:t>
        <w:br/>
        <w:t>Telephone:</w:t>
        <w:tab/>
        <w:t>(415) 392-7900</w:t>
        <w:br/>
        <w:t>Facsimile:</w:t>
        <w:tab/>
        <w:t>(415) 398-4321</w:t>
      </w:r>
    </w:p>
    <w:p>
      <w:pPr>
        <w:pStyle w:val="PleadingSignature"/>
        <w:tabs>
          <w:tab w:val="left" w:pos="5126" w:leader="none"/>
          <w:tab w:val="left" w:pos="5184" w:leader="none"/>
          <w:tab w:val="right" w:pos="9360" w:leader="none"/>
        </w:tabs>
        <w:rPr/>
      </w:pPr>
      <w:r>
        <w:rPr/>
        <w:t>mday@gmssr.com</w:t>
      </w:r>
    </w:p>
    <w:p>
      <w:pPr>
        <w:pStyle w:val="PleadingSignature"/>
        <w:spacing w:before="720" w:after="0"/>
        <w:rPr/>
      </w:pPr>
      <w:r>
        <w:rPr/>
        <w:t>By</w:t>
      </w:r>
    </w:p>
    <w:p>
      <w:pPr>
        <w:pStyle w:val="PleadingSignature"/>
        <w:pBdr>
          <w:top w:val="single" w:sz="4" w:space="1" w:color="000000"/>
        </w:pBdr>
        <w:tabs>
          <w:tab w:val="left" w:pos="4550" w:leader="none"/>
          <w:tab w:val="left" w:pos="5126" w:leader="none"/>
          <w:tab w:val="right" w:pos="9360" w:leader="none"/>
        </w:tabs>
        <w:ind w:start="4190" w:end="120"/>
        <w:rPr/>
      </w:pPr>
      <w:r>
        <w:rPr/>
        <w:tab/>
        <w:t>Michael B. Day</w:t>
      </w:r>
    </w:p>
    <w:p>
      <w:pPr>
        <w:pStyle w:val="PleadingSignature"/>
        <w:spacing w:before="240" w:after="0"/>
        <w:ind w:end="120"/>
        <w:rPr/>
      </w:pPr>
      <w:r>
        <w:rPr/>
        <w:t xml:space="preserve">Attorneys for Wild Goose Storage Inc., Enron North America, and Enron Energy Services, Inc. </w:t>
      </w:r>
    </w:p>
    <w:p>
      <w:pPr>
        <w:pStyle w:val="Normal"/>
        <w:rPr/>
      </w:pPr>
      <w:r>
        <w:rPr/>
      </w:r>
    </w:p>
    <w:p>
      <w:pPr>
        <w:pStyle w:val="Normal"/>
        <w:spacing w:lineRule="exact" w:line="200" w:before="240" w:after="0"/>
        <w:rPr/>
      </w:pPr>
      <w:r>
        <w:rPr>
          <w:rStyle w:val="zzmpTrailerItem"/>
        </w:rPr>
        <w:t>2715/016/X13986-1</w:t>
      </w:r>
      <w:r>
        <w:rPr/>
        <w:t xml:space="preserve"> </w:t>
      </w:r>
    </w:p>
    <w:p>
      <w:pPr>
        <w:sectPr>
          <w:headerReference w:type="default" r:id="rId5"/>
          <w:headerReference w:type="first" r:id="rId6"/>
          <w:footerReference w:type="default" r:id="rId7"/>
          <w:footerReference w:type="first" r:id="rId8"/>
          <w:footnotePr>
            <w:numFmt w:val="decimal"/>
          </w:footnotePr>
          <w:type w:val="nextPage"/>
          <w:pgSz w:w="12240" w:h="15840"/>
          <w:pgMar w:left="1440" w:right="1440" w:gutter="0" w:header="432" w:top="1440" w:footer="360" w:bottom="1440"/>
          <w:pgNumType w:start="1" w:fmt="decimal"/>
          <w:formProt w:val="false"/>
          <w:titlePg/>
          <w:textDirection w:val="lrTb"/>
          <w:docGrid w:type="default" w:linePitch="360" w:charSpace="0"/>
        </w:sectPr>
        <w:pStyle w:val="Normal"/>
        <w:rPr/>
      </w:pPr>
      <w:r>
        <w:rPr/>
      </w:r>
    </w:p>
    <w:p>
      <w:pPr>
        <w:pStyle w:val="TOC1"/>
        <w:rPr/>
      </w:pPr>
      <w:bookmarkStart w:id="0" w:name="mpTableOfContents"/>
      <w:bookmarkEnd w:id="0"/>
      <w:r>
        <w:rPr/>
        <w:t>I.</w:t>
        <w:tab/>
        <w:t>INTRODUCTION</w:t>
        <w:tab/>
        <w:t>1</w:t>
      </w:r>
    </w:p>
    <w:p>
      <w:pPr>
        <w:pStyle w:val="Normal"/>
        <w:rPr/>
      </w:pPr>
      <w:r>
        <w:rPr/>
      </w:r>
    </w:p>
    <w:p>
      <w:pPr>
        <w:pStyle w:val="TOC1"/>
        <w:spacing w:before="0" w:after="120"/>
        <w:rPr/>
      </w:pPr>
      <w:r>
        <w:rPr/>
        <w:t>II.</w:t>
        <w:tab/>
        <w:t>THE Comprehensive Settlement PROVIDES ALL CLASSES OF CUSTOMERS WITH SUBSTANTIAL BENEFITS AT A VERY LOW COST WHILE ACHIEVING A HIGH DEGREE OF STATEWIDE CONSISTENCY IN NATURAL GAS REGULATION.</w:t>
        <w:tab/>
        <w:t>2</w:t>
      </w:r>
    </w:p>
    <w:p>
      <w:pPr>
        <w:pStyle w:val="TOC2"/>
        <w:rPr/>
      </w:pPr>
      <w:r>
        <w:rPr/>
        <w:t>A.</w:t>
        <w:tab/>
        <w:t>Unbundling of Intrastate Transmission</w:t>
        <w:tab/>
        <w:t>3</w:t>
      </w:r>
    </w:p>
    <w:p>
      <w:pPr>
        <w:pStyle w:val="Normal"/>
        <w:rPr/>
      </w:pPr>
      <w:r>
        <w:rPr/>
      </w:r>
    </w:p>
    <w:p>
      <w:pPr>
        <w:pStyle w:val="TOC2"/>
        <w:rPr/>
      </w:pPr>
      <w:r>
        <w:rPr/>
        <w:t>B.</w:t>
        <w:tab/>
        <w:t>Unbundling of Storage</w:t>
        <w:tab/>
        <w:t>13</w:t>
      </w:r>
    </w:p>
    <w:p>
      <w:pPr>
        <w:pStyle w:val="Normal"/>
        <w:rPr/>
      </w:pPr>
      <w:r>
        <w:rPr/>
      </w:r>
    </w:p>
    <w:p>
      <w:pPr>
        <w:pStyle w:val="TOC2"/>
        <w:rPr/>
      </w:pPr>
      <w:r>
        <w:rPr/>
        <w:t>C.</w:t>
        <w:tab/>
        <w:t>Unbundling of Balancing</w:t>
        <w:tab/>
        <w:t>16</w:t>
      </w:r>
    </w:p>
    <w:p>
      <w:pPr>
        <w:pStyle w:val="Normal"/>
        <w:rPr/>
      </w:pPr>
      <w:r>
        <w:rPr/>
      </w:r>
    </w:p>
    <w:p>
      <w:pPr>
        <w:pStyle w:val="TOC2"/>
        <w:rPr/>
      </w:pPr>
      <w:r>
        <w:rPr/>
        <w:t>D.</w:t>
        <w:tab/>
        <w:t>Enhanced Imbalance Trading</w:t>
        <w:tab/>
        <w:t>18</w:t>
      </w:r>
    </w:p>
    <w:p>
      <w:pPr>
        <w:pStyle w:val="Normal"/>
        <w:rPr/>
      </w:pPr>
      <w:r>
        <w:rPr/>
      </w:r>
    </w:p>
    <w:p>
      <w:pPr>
        <w:pStyle w:val="TOC2"/>
        <w:rPr/>
      </w:pPr>
      <w:r>
        <w:rPr/>
        <w:t>E.</w:t>
        <w:tab/>
        <w:t>Unbundling of Interstate Transmission Capacity</w:t>
        <w:tab/>
        <w:t>19</w:t>
      </w:r>
    </w:p>
    <w:p>
      <w:pPr>
        <w:pStyle w:val="Normal"/>
        <w:rPr/>
      </w:pPr>
      <w:r>
        <w:rPr/>
      </w:r>
    </w:p>
    <w:p>
      <w:pPr>
        <w:pStyle w:val="TOC2"/>
        <w:rPr/>
      </w:pPr>
      <w:r>
        <w:rPr/>
        <w:t>F.</w:t>
        <w:tab/>
        <w:t>Comparison of Costs and Benefits of the Comprehensive Settlement Agreement</w:t>
        <w:tab/>
        <w:t>20</w:t>
      </w:r>
    </w:p>
    <w:p>
      <w:pPr>
        <w:pStyle w:val="Normal"/>
        <w:rPr/>
      </w:pPr>
      <w:r>
        <w:rPr/>
      </w:r>
    </w:p>
    <w:p>
      <w:pPr>
        <w:pStyle w:val="TOC2"/>
        <w:spacing w:before="0" w:after="120"/>
        <w:rPr/>
      </w:pPr>
      <w:r>
        <w:rPr/>
        <w:t>H.</w:t>
        <w:tab/>
        <w:t>Implementation Process</w:t>
        <w:tab/>
        <w:t>26</w:t>
      </w:r>
    </w:p>
    <w:p>
      <w:pPr>
        <w:pStyle w:val="Normal"/>
        <w:rPr/>
      </w:pPr>
      <w:r>
        <w:rPr/>
        <w:t>`</w:t>
      </w:r>
    </w:p>
    <w:p>
      <w:pPr>
        <w:pStyle w:val="TOC1"/>
        <w:rPr/>
      </w:pPr>
      <w:r>
        <w:rPr/>
        <w:t>iii.</w:t>
        <w:tab/>
        <w:t xml:space="preserve">the interim/post-interim settlement is premised on fundamental misperceptions of the california gas market,  AND does not advance the public interest. </w:t>
        <w:tab/>
        <w:t>27</w:t>
      </w:r>
    </w:p>
    <w:p>
      <w:pPr>
        <w:pStyle w:val="Normal"/>
        <w:rPr/>
      </w:pPr>
      <w:r>
        <w:rPr/>
      </w:r>
    </w:p>
    <w:p>
      <w:pPr>
        <w:sectPr>
          <w:headerReference w:type="default" r:id="rId9"/>
          <w:headerReference w:type="first" r:id="rId10"/>
          <w:footerReference w:type="default" r:id="rId11"/>
          <w:footerReference w:type="first" r:id="rId12"/>
          <w:footnotePr>
            <w:numFmt w:val="decimal"/>
          </w:footnotePr>
          <w:type w:val="nextPage"/>
          <w:pgSz w:w="12240" w:h="15840"/>
          <w:pgMar w:left="1440" w:right="1440" w:gutter="0" w:header="1080" w:top="1440" w:footer="720" w:bottom="1440"/>
          <w:pgNumType w:start="1" w:fmt="lowerRoman"/>
          <w:formProt w:val="false"/>
          <w:titlePg/>
          <w:textDirection w:val="lrTb"/>
          <w:docGrid w:type="default" w:linePitch="360" w:charSpace="0"/>
        </w:sectPr>
        <w:pStyle w:val="TOC1"/>
        <w:rPr/>
      </w:pPr>
      <w:r>
        <w:rPr/>
        <w:t>IV.</w:t>
        <w:tab/>
        <w:t>THE COMMISSION SHOULD APPROVE THE COMPREHENSIVE SETTLEMENT AS THE CAPSTONE OF ITS SUBSTANTIAL ACCOMPLISHMENTS IN THE RESTRUCTURING OF THE CALIFORNIA NATURAL GAS INDUSTRY.</w:t>
        <w:tab/>
        <w:t>31</w:t>
      </w:r>
    </w:p>
    <w:p>
      <w:pPr>
        <w:pStyle w:val="BodyText"/>
        <w:rPr/>
      </w:pPr>
      <w:bookmarkStart w:id="1" w:name="mpTableOfContents"/>
      <w:bookmarkEnd w:id="1"/>
      <w:r>
        <w:rPr/>
        <w:t>WARNING:  This section retains the original formatting, including headers and footers, of the main document.  If you delete the section break above this message (which is visible ONLY in Normal View), any special formatting, including headers and footers for the Table of Contents/Authorities section will be lost.</w:t>
      </w:r>
    </w:p>
    <w:p>
      <w:pPr>
        <w:pStyle w:val="BodyText"/>
        <w:rPr/>
      </w:pPr>
      <w:r>
        <w:rPr/>
        <w:t>If you delete the section break above the Table of Contents/Authorities, you will overwrite the headers and footers of the main document with Table of Contents/Authorities headers and footers.</w:t>
      </w:r>
    </w:p>
    <w:p>
      <w:pPr>
        <w:pStyle w:val="BodyText"/>
        <w:rPr/>
      </w:pPr>
      <w:r>
        <w:rPr/>
        <w:t>To delete the Table of Contents/Authorities, begin your selection at the section break above the TOC/TOA section and continue through the end of this message.</w:t>
      </w:r>
    </w:p>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0" w:header="432" w:top="1440"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00" w:type="dxa"/>
      <w:jc w:val="center"/>
      <w:tblInd w:w="0" w:type="dxa"/>
      <w:tblLayout w:type="fixed"/>
      <w:tblCellMar>
        <w:top w:w="0" w:type="dxa"/>
        <w:start w:w="108" w:type="dxa"/>
        <w:bottom w:w="0" w:type="dxa"/>
        <w:end w:w="108" w:type="dxa"/>
      </w:tblCellMar>
    </w:tblPr>
    <w:tblGrid>
      <w:gridCol w:w="4146"/>
      <w:gridCol w:w="1008"/>
      <w:gridCol w:w="4146"/>
    </w:tblGrid>
    <w:tr>
      <w:trPr/>
      <w:tc>
        <w:tcPr>
          <w:tcW w:w="4146" w:type="dxa"/>
          <w:tcBorders/>
        </w:tcPr>
        <w:p>
          <w:pPr>
            <w:pStyle w:val="Footer"/>
            <w:snapToGrid w:val="false"/>
            <w:rPr/>
          </w:pPr>
          <w:r>
            <w:rPr/>
          </w:r>
        </w:p>
      </w:tc>
      <w:tc>
        <w:tcPr>
          <w:tcW w:w="1008" w:type="dxa"/>
          <w:tcBorders/>
        </w:tcPr>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4146" w:type="dxa"/>
          <w:tcBorders/>
        </w:tcPr>
        <w:p>
          <w:pPr>
            <w:pStyle w:val="Footer"/>
            <w:snapToGrid w:val="false"/>
            <w:rPr>
              <w:rStyle w:val="PageNumber"/>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00" w:type="dxa"/>
      <w:jc w:val="center"/>
      <w:tblInd w:w="0" w:type="dxa"/>
      <w:tblLayout w:type="fixed"/>
      <w:tblCellMar>
        <w:top w:w="0" w:type="dxa"/>
        <w:start w:w="108" w:type="dxa"/>
        <w:bottom w:w="0" w:type="dxa"/>
        <w:end w:w="108" w:type="dxa"/>
      </w:tblCellMar>
    </w:tblPr>
    <w:tblGrid>
      <w:gridCol w:w="4146"/>
      <w:gridCol w:w="1008"/>
      <w:gridCol w:w="4146"/>
    </w:tblGrid>
    <w:tr>
      <w:trPr/>
      <w:tc>
        <w:tcPr>
          <w:tcW w:w="4146" w:type="dxa"/>
          <w:tcBorders/>
        </w:tcPr>
        <w:p>
          <w:pPr>
            <w:pStyle w:val="Footer"/>
            <w:snapToGrid w:val="false"/>
            <w:rPr/>
          </w:pPr>
          <w:r>
            <w:rPr/>
          </w:r>
        </w:p>
      </w:tc>
      <w:tc>
        <w:tcPr>
          <w:tcW w:w="1008" w:type="dxa"/>
          <w:tcBorders/>
        </w:tcPr>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tc>
      <w:tc>
        <w:tcPr>
          <w:tcW w:w="4146" w:type="dxa"/>
          <w:tcBorders/>
        </w:tcPr>
        <w:p>
          <w:pPr>
            <w:pStyle w:val="Footer"/>
            <w:snapToGrid w:val="false"/>
            <w:rPr>
              <w:rStyle w:val="PageNumber"/>
            </w:rPr>
          </w:pPr>
          <w:r>
            <w:rPr/>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0"/>
        </w:rPr>
        <w:t>Comprehensive Settlement, Ex. 1, pp. 8-28.</w:t>
      </w:r>
    </w:p>
  </w:footnote>
  <w:footnote w:id="3">
    <w:p>
      <w:pPr>
        <w:pStyle w:val="FootnoteText"/>
        <w:rPr/>
      </w:pPr>
      <w:r>
        <w:rPr>
          <w:rStyle w:val="FootnoteCharacters"/>
        </w:rPr>
        <w:footnoteRef/>
      </w:r>
      <w:r>
        <w:rPr/>
        <w:t xml:space="preserve"> </w:t>
      </w:r>
      <w:r>
        <w:rPr>
          <w:sz w:val="20"/>
        </w:rPr>
        <w:t>D.99-07-015, pp. 12-14, mimeo.</w:t>
      </w:r>
    </w:p>
  </w:footnote>
  <w:footnote w:id="4">
    <w:p>
      <w:pPr>
        <w:pStyle w:val="FootnoteText"/>
        <w:rPr/>
      </w:pPr>
      <w:r>
        <w:rPr>
          <w:rStyle w:val="FootnoteCharacters"/>
        </w:rPr>
        <w:footnoteRef/>
      </w:r>
      <w:r>
        <w:rPr/>
        <w:t xml:space="preserve"> </w:t>
      </w:r>
      <w:r>
        <w:rPr>
          <w:sz w:val="20"/>
        </w:rPr>
        <w:t>Yap, SCGC, Tr. Vol. 2, p. 143, lines 5-15.</w:t>
      </w:r>
    </w:p>
  </w:footnote>
  <w:footnote w:id="5">
    <w:p>
      <w:pPr>
        <w:pStyle w:val="FootnoteText"/>
        <w:rPr/>
      </w:pPr>
      <w:r>
        <w:rPr>
          <w:rStyle w:val="FootnoteCharacters"/>
        </w:rPr>
        <w:footnoteRef/>
      </w:r>
      <w:r>
        <w:rPr/>
        <w:t xml:space="preserve"> </w:t>
      </w:r>
      <w:r>
        <w:rPr>
          <w:sz w:val="20"/>
        </w:rPr>
        <w:t>Comprehensive Settlement,</w:t>
      </w:r>
      <w:r>
        <w:rPr/>
        <w:t xml:space="preserve"> </w:t>
      </w:r>
      <w:r>
        <w:rPr>
          <w:sz w:val="20"/>
        </w:rPr>
        <w:t>Ex. 1, Section 1.1.3.1.; 1.1.3.2., pp. 8-11.</w:t>
      </w:r>
    </w:p>
  </w:footnote>
  <w:footnote w:id="6">
    <w:p>
      <w:pPr>
        <w:pStyle w:val="FootnoteText"/>
        <w:rPr/>
      </w:pPr>
      <w:r>
        <w:rPr>
          <w:rStyle w:val="FootnoteCharacters"/>
        </w:rPr>
        <w:footnoteRef/>
      </w:r>
      <w:r>
        <w:rPr/>
        <w:t xml:space="preserve"> </w:t>
      </w:r>
      <w:r>
        <w:rPr>
          <w:sz w:val="20"/>
        </w:rPr>
        <w:t>Beach, Vernon, Tr. Vol. 8, p. 985, lines 25-28; Pocta, Ex. 4, pp. 10-11.</w:t>
      </w:r>
    </w:p>
  </w:footnote>
  <w:footnote w:id="7">
    <w:p>
      <w:pPr>
        <w:pStyle w:val="FootnoteText"/>
        <w:rPr/>
      </w:pPr>
      <w:r>
        <w:rPr>
          <w:rStyle w:val="FootnoteCharacters"/>
        </w:rPr>
        <w:footnoteRef/>
      </w:r>
      <w:r>
        <w:rPr/>
        <w:t xml:space="preserve"> </w:t>
      </w:r>
      <w:r>
        <w:rPr>
          <w:sz w:val="20"/>
        </w:rPr>
        <w:t>Dasovich, Enron, Ex. 15, p. 5-6.</w:t>
      </w:r>
    </w:p>
  </w:footnote>
  <w:footnote w:id="8">
    <w:p>
      <w:pPr>
        <w:pStyle w:val="FootnoteText"/>
        <w:rPr/>
      </w:pPr>
      <w:r>
        <w:rPr>
          <w:rStyle w:val="FootnoteCharacters"/>
        </w:rPr>
        <w:footnoteRef/>
      </w:r>
      <w:r>
        <w:rPr/>
        <w:t xml:space="preserve"> </w:t>
      </w:r>
      <w:r>
        <w:rPr>
          <w:sz w:val="20"/>
        </w:rPr>
        <w:t>Yap, SCGC, Tr. Vol. 2, p. 147, line 16-23.</w:t>
      </w:r>
    </w:p>
  </w:footnote>
  <w:footnote w:id="9">
    <w:p>
      <w:pPr>
        <w:pStyle w:val="FootnoteText"/>
        <w:rPr/>
      </w:pPr>
      <w:r>
        <w:rPr>
          <w:rStyle w:val="FootnoteCharacters"/>
        </w:rPr>
        <w:footnoteRef/>
      </w:r>
      <w:r>
        <w:rPr/>
        <w:t xml:space="preserve"> </w:t>
      </w:r>
      <w:r>
        <w:rPr>
          <w:sz w:val="20"/>
        </w:rPr>
        <w:t>Amirault, WGSI, Tr. Vol. 5, p.601, line 3 – p. 602, line 12.</w:t>
      </w:r>
    </w:p>
  </w:footnote>
  <w:footnote w:id="10">
    <w:p>
      <w:pPr>
        <w:pStyle w:val="FootnoteText"/>
        <w:rPr/>
      </w:pPr>
      <w:r>
        <w:rPr>
          <w:rStyle w:val="FootnoteCharacters"/>
        </w:rPr>
        <w:footnoteRef/>
      </w:r>
      <w:r>
        <w:rPr/>
        <w:t xml:space="preserve"> </w:t>
      </w:r>
      <w:r>
        <w:rPr>
          <w:sz w:val="20"/>
        </w:rPr>
        <w:t>Amirault, WGSI, Tr. Vol. 4, pp. 426-429; Vol. 5, pp. 576-577.</w:t>
      </w:r>
    </w:p>
  </w:footnote>
  <w:footnote w:id="11">
    <w:p>
      <w:pPr>
        <w:pStyle w:val="FootnoteText"/>
        <w:rPr/>
      </w:pPr>
      <w:r>
        <w:rPr>
          <w:rStyle w:val="FootnoteCharacters"/>
        </w:rPr>
        <w:footnoteRef/>
      </w:r>
      <w:r>
        <w:rPr/>
        <w:t xml:space="preserve"> </w:t>
      </w:r>
      <w:r>
        <w:rPr>
          <w:sz w:val="20"/>
        </w:rPr>
        <w:t>Beach, Vernon, Ex. 5, pp. 4-5, figure 1.</w:t>
      </w:r>
    </w:p>
  </w:footnote>
  <w:footnote w:id="12">
    <w:p>
      <w:pPr>
        <w:pStyle w:val="FootnoteText"/>
        <w:rPr/>
      </w:pPr>
      <w:r>
        <w:rPr>
          <w:rStyle w:val="FootnoteCharacters"/>
        </w:rPr>
        <w:footnoteRef/>
      </w:r>
      <w:r>
        <w:rPr/>
        <w:t xml:space="preserve"> </w:t>
      </w:r>
      <w:r>
        <w:rPr>
          <w:sz w:val="20"/>
        </w:rPr>
        <w:t>Beach, Vernon, Ex. 18, pp. 3-4.</w:t>
      </w:r>
    </w:p>
  </w:footnote>
  <w:footnote w:id="13">
    <w:p>
      <w:pPr>
        <w:pStyle w:val="FootnoteText"/>
        <w:rPr/>
      </w:pPr>
      <w:r>
        <w:rPr>
          <w:rStyle w:val="FootnoteCharacters"/>
        </w:rPr>
        <w:footnoteRef/>
      </w:r>
      <w:r>
        <w:rPr/>
        <w:t xml:space="preserve"> </w:t>
      </w:r>
      <w:r>
        <w:rPr>
          <w:sz w:val="20"/>
        </w:rPr>
        <w:t>Lorenz, SoCalGas, Tr. Vol. 7, p. 781, lines 4-10.</w:t>
      </w:r>
    </w:p>
  </w:footnote>
  <w:footnote w:id="14">
    <w:p>
      <w:pPr>
        <w:pStyle w:val="FootnoteText"/>
        <w:rPr/>
      </w:pPr>
      <w:r>
        <w:rPr>
          <w:rStyle w:val="FootnoteCharacters"/>
        </w:rPr>
        <w:footnoteRef/>
      </w:r>
      <w:r>
        <w:rPr/>
        <w:t xml:space="preserve"> </w:t>
      </w:r>
      <w:r>
        <w:rPr>
          <w:sz w:val="20"/>
        </w:rPr>
        <w:t>Beach, Vernon, Ex. 18, p. 5.</w:t>
      </w:r>
    </w:p>
  </w:footnote>
  <w:footnote w:id="15">
    <w:p>
      <w:pPr>
        <w:pStyle w:val="FootnoteText"/>
        <w:rPr/>
      </w:pPr>
      <w:r>
        <w:rPr>
          <w:rStyle w:val="FootnoteCharacters"/>
        </w:rPr>
        <w:footnoteRef/>
      </w:r>
      <w:r>
        <w:rPr/>
        <w:t xml:space="preserve"> </w:t>
      </w:r>
      <w:r>
        <w:rPr>
          <w:sz w:val="20"/>
          <w:u w:val="single"/>
        </w:rPr>
        <w:t>Id</w:t>
      </w:r>
      <w:r>
        <w:rPr>
          <w:sz w:val="20"/>
        </w:rPr>
        <w:t>., at p. 3.</w:t>
      </w:r>
    </w:p>
  </w:footnote>
  <w:footnote w:id="16">
    <w:p>
      <w:pPr>
        <w:pStyle w:val="FootnoteText"/>
        <w:rPr/>
      </w:pPr>
      <w:r>
        <w:rPr>
          <w:rStyle w:val="FootnoteCharacters"/>
        </w:rPr>
        <w:footnoteRef/>
      </w:r>
      <w:r>
        <w:rPr/>
        <w:t xml:space="preserve"> </w:t>
      </w:r>
      <w:r>
        <w:rPr>
          <w:sz w:val="20"/>
        </w:rPr>
        <w:t>Lorenz, SoCalGas, Tr. Vol. 4, p.438, line 18-p. 439, line 3.</w:t>
      </w:r>
    </w:p>
  </w:footnote>
  <w:footnote w:id="17">
    <w:p>
      <w:pPr>
        <w:pStyle w:val="FootnoteText"/>
        <w:rPr/>
      </w:pPr>
      <w:r>
        <w:rPr>
          <w:rStyle w:val="FootnoteCharacters"/>
        </w:rPr>
        <w:footnoteRef/>
      </w:r>
      <w:r>
        <w:rPr/>
        <w:t xml:space="preserve"> </w:t>
      </w:r>
      <w:r>
        <w:rPr>
          <w:sz w:val="20"/>
        </w:rPr>
        <w:t>Pocta, ORA, Tr. Vol. 7, p. 930, line 18 – p. 931, line 11.</w:t>
      </w:r>
    </w:p>
  </w:footnote>
  <w:footnote w:id="18">
    <w:p>
      <w:pPr>
        <w:pStyle w:val="FootnoteText"/>
        <w:rPr/>
      </w:pPr>
      <w:r>
        <w:rPr>
          <w:rStyle w:val="FootnoteCharacters"/>
        </w:rPr>
        <w:footnoteRef/>
      </w:r>
      <w:r>
        <w:rPr/>
        <w:t xml:space="preserve"> </w:t>
      </w:r>
      <w:r>
        <w:rPr>
          <w:sz w:val="20"/>
        </w:rPr>
        <w:t>Pocta, ORA, Ex. 4, p. 10.</w:t>
      </w:r>
    </w:p>
  </w:footnote>
  <w:footnote w:id="19">
    <w:p>
      <w:pPr>
        <w:pStyle w:val="FootnoteText"/>
        <w:rPr/>
      </w:pPr>
      <w:r>
        <w:rPr>
          <w:rStyle w:val="FootnoteCharacters"/>
        </w:rPr>
        <w:footnoteRef/>
      </w:r>
      <w:r>
        <w:rPr/>
        <w:t xml:space="preserve"> </w:t>
      </w:r>
      <w:r>
        <w:rPr>
          <w:sz w:val="20"/>
        </w:rPr>
        <w:t>Pocta, ORA, Tr. Vol. 7, p. 857, line 26 – p. 858, line 3.</w:t>
      </w:r>
    </w:p>
  </w:footnote>
  <w:footnote w:id="20">
    <w:p>
      <w:pPr>
        <w:pStyle w:val="FootnoteText"/>
        <w:rPr/>
      </w:pPr>
      <w:r>
        <w:rPr>
          <w:rStyle w:val="FootnoteCharacters"/>
        </w:rPr>
        <w:footnoteRef/>
      </w:r>
      <w:r>
        <w:rPr/>
        <w:t xml:space="preserve"> </w:t>
      </w:r>
      <w:r>
        <w:rPr>
          <w:sz w:val="20"/>
        </w:rPr>
        <w:t>The Open Season process is described in detail in the Comprehensive Settlement, Ex. 1,  Section 1.1.3.6., pp. 15-18.</w:t>
      </w:r>
    </w:p>
  </w:footnote>
  <w:footnote w:id="21">
    <w:p>
      <w:pPr>
        <w:pStyle w:val="FootnoteText"/>
        <w:rPr/>
      </w:pPr>
      <w:r>
        <w:rPr>
          <w:rStyle w:val="FootnoteCharacters"/>
        </w:rPr>
        <w:footnoteRef/>
      </w:r>
      <w:r>
        <w:rPr/>
        <w:t xml:space="preserve"> </w:t>
      </w:r>
      <w:r>
        <w:rPr>
          <w:sz w:val="20"/>
        </w:rPr>
        <w:t>Pocta, ORA, Tr. Vol. 8, p. 963, lines 5-22.</w:t>
      </w:r>
    </w:p>
  </w:footnote>
  <w:footnote w:id="22">
    <w:p>
      <w:pPr>
        <w:pStyle w:val="FootnoteText"/>
        <w:rPr/>
      </w:pPr>
      <w:r>
        <w:rPr>
          <w:rStyle w:val="FootnoteCharacters"/>
        </w:rPr>
        <w:footnoteRef/>
      </w:r>
      <w:r>
        <w:rPr/>
        <w:t xml:space="preserve"> </w:t>
      </w:r>
      <w:r>
        <w:rPr>
          <w:sz w:val="20"/>
        </w:rPr>
        <w:t>Lorenz, SoCalGas, Tr. Vol. 8, p. 962, lines 17-21.</w:t>
      </w:r>
    </w:p>
  </w:footnote>
  <w:footnote w:id="23">
    <w:p>
      <w:pPr>
        <w:pStyle w:val="FootnoteText"/>
        <w:rPr/>
      </w:pPr>
      <w:r>
        <w:rPr>
          <w:rStyle w:val="FootnoteCharacters"/>
        </w:rPr>
        <w:footnoteRef/>
      </w:r>
      <w:r>
        <w:rPr/>
        <w:t xml:space="preserve"> </w:t>
      </w:r>
      <w:r>
        <w:rPr>
          <w:sz w:val="20"/>
        </w:rPr>
        <w:t>Lorenz, SoCalGas, Tr. Vol. 7, p. 778, line 25 – p. 779, line 2; Ex. 23.</w:t>
      </w:r>
    </w:p>
  </w:footnote>
  <w:footnote w:id="24">
    <w:p>
      <w:pPr>
        <w:pStyle w:val="FootnoteText"/>
        <w:rPr/>
      </w:pPr>
      <w:r>
        <w:rPr>
          <w:rStyle w:val="FootnoteCharacters"/>
        </w:rPr>
        <w:footnoteRef/>
      </w:r>
      <w:r>
        <w:rPr/>
        <w:t xml:space="preserve"> </w:t>
      </w:r>
      <w:r>
        <w:rPr>
          <w:sz w:val="20"/>
        </w:rPr>
        <w:t>Lorenz, SoCalGas, Tr. Vol. 5, p. 524, line 4 – p. 525, line 17.</w:t>
      </w:r>
    </w:p>
  </w:footnote>
  <w:footnote w:id="25">
    <w:p>
      <w:pPr>
        <w:pStyle w:val="FootnoteText"/>
        <w:rPr/>
      </w:pPr>
      <w:r>
        <w:rPr>
          <w:rStyle w:val="FootnoteCharacters"/>
        </w:rPr>
        <w:footnoteRef/>
      </w:r>
      <w:r>
        <w:rPr/>
        <w:t xml:space="preserve"> </w:t>
      </w:r>
      <w:r>
        <w:rPr>
          <w:sz w:val="20"/>
        </w:rPr>
        <w:t>Beach, Vernon, Tr. Vol.  7, p. 830, line 27 – p. 831, line 4.</w:t>
      </w:r>
    </w:p>
  </w:footnote>
  <w:footnote w:id="26">
    <w:p>
      <w:pPr>
        <w:pStyle w:val="FootnoteText"/>
        <w:rPr/>
      </w:pPr>
      <w:r>
        <w:rPr>
          <w:rStyle w:val="FootnoteCharacters"/>
        </w:rPr>
        <w:footnoteRef/>
      </w:r>
      <w:r>
        <w:rPr/>
        <w:t xml:space="preserve"> </w:t>
      </w:r>
      <w:r>
        <w:rPr>
          <w:sz w:val="20"/>
        </w:rPr>
        <w:t>Lorenz, SoCalGas, Tr. Vol. 8, p. 944, lines 3-9.</w:t>
      </w:r>
    </w:p>
  </w:footnote>
  <w:footnote w:id="27">
    <w:p>
      <w:pPr>
        <w:pStyle w:val="FootnoteText"/>
        <w:rPr/>
      </w:pPr>
      <w:r>
        <w:rPr>
          <w:rStyle w:val="FootnoteCharacters"/>
        </w:rPr>
        <w:footnoteRef/>
      </w:r>
      <w:r>
        <w:rPr/>
        <w:t xml:space="preserve"> </w:t>
      </w:r>
      <w:r>
        <w:rPr>
          <w:sz w:val="20"/>
        </w:rPr>
        <w:t>Pocta, ORA, Tr. Vol. , 7, p. 835, lines 6-11.</w:t>
      </w:r>
    </w:p>
  </w:footnote>
  <w:footnote w:id="28">
    <w:p>
      <w:pPr>
        <w:pStyle w:val="FootnoteText"/>
        <w:rPr/>
      </w:pPr>
      <w:r>
        <w:rPr>
          <w:rStyle w:val="FootnoteCharacters"/>
        </w:rPr>
        <w:footnoteRef/>
      </w:r>
      <w:r>
        <w:rPr/>
        <w:t xml:space="preserve"> </w:t>
      </w:r>
      <w:r>
        <w:rPr>
          <w:sz w:val="20"/>
        </w:rPr>
        <w:t>D.99-07-015, Appendix C, p. 1.</w:t>
      </w:r>
    </w:p>
  </w:footnote>
  <w:footnote w:id="29">
    <w:p>
      <w:pPr>
        <w:pStyle w:val="FootnoteText"/>
        <w:rPr/>
      </w:pPr>
      <w:r>
        <w:rPr>
          <w:rStyle w:val="FootnoteCharacters"/>
        </w:rPr>
        <w:footnoteRef/>
      </w:r>
      <w:r>
        <w:rPr/>
        <w:t xml:space="preserve"> </w:t>
      </w:r>
      <w:r>
        <w:rPr>
          <w:sz w:val="20"/>
        </w:rPr>
        <w:t>Dasovich, Enron, Tr. Vol. 7, p. 878, lines 14-20.</w:t>
      </w:r>
    </w:p>
  </w:footnote>
  <w:footnote w:id="30">
    <w:p>
      <w:pPr>
        <w:pStyle w:val="FootnoteText"/>
        <w:rPr/>
      </w:pPr>
      <w:r>
        <w:rPr>
          <w:rStyle w:val="FootnoteCharacters"/>
        </w:rPr>
        <w:footnoteRef/>
      </w:r>
      <w:r>
        <w:rPr/>
        <w:t xml:space="preserve"> </w:t>
      </w:r>
      <w:r>
        <w:rPr>
          <w:sz w:val="20"/>
          <w:u w:val="single"/>
        </w:rPr>
        <w:t>Id</w:t>
      </w:r>
      <w:r>
        <w:rPr>
          <w:sz w:val="20"/>
        </w:rPr>
        <w:t>. at p. 884, lines 19-24.</w:t>
      </w:r>
    </w:p>
  </w:footnote>
  <w:footnote w:id="31">
    <w:p>
      <w:pPr>
        <w:pStyle w:val="FootnoteText"/>
        <w:rPr/>
      </w:pPr>
      <w:r>
        <w:rPr>
          <w:rStyle w:val="FootnoteCharacters"/>
        </w:rPr>
        <w:footnoteRef/>
      </w:r>
      <w:r>
        <w:rPr/>
        <w:t xml:space="preserve"> </w:t>
      </w:r>
      <w:r>
        <w:rPr>
          <w:sz w:val="20"/>
        </w:rPr>
        <w:t>Comprehensive Settlement Agreement, Ex. 1, Appendix B, pp. 1-3.</w:t>
      </w:r>
    </w:p>
  </w:footnote>
  <w:footnote w:id="32">
    <w:p>
      <w:pPr>
        <w:pStyle w:val="FootnoteText"/>
        <w:rPr/>
      </w:pPr>
      <w:r>
        <w:rPr>
          <w:rStyle w:val="FootnoteCharacters"/>
        </w:rPr>
        <w:footnoteRef/>
      </w:r>
      <w:r>
        <w:rPr/>
        <w:t xml:space="preserve"> </w:t>
      </w:r>
      <w:r>
        <w:rPr>
          <w:sz w:val="20"/>
        </w:rPr>
        <w:t>D.99-07-015, Appendix C, p. 1.</w:t>
      </w:r>
    </w:p>
  </w:footnote>
  <w:footnote w:id="33">
    <w:p>
      <w:pPr>
        <w:pStyle w:val="FootnoteText"/>
        <w:rPr/>
      </w:pPr>
      <w:r>
        <w:rPr>
          <w:rStyle w:val="FootnoteCharacters"/>
        </w:rPr>
        <w:footnoteRef/>
      </w:r>
      <w:r>
        <w:rPr/>
        <w:t xml:space="preserve"> </w:t>
      </w:r>
      <w:r>
        <w:rPr>
          <w:sz w:val="20"/>
        </w:rPr>
        <w:t>Yap, SCGC, Tr. Vol.  2, p. 131, lines 15-22.</w:t>
      </w:r>
    </w:p>
  </w:footnote>
  <w:footnote w:id="34">
    <w:p>
      <w:pPr>
        <w:pStyle w:val="FootnoteText"/>
        <w:rPr/>
      </w:pPr>
      <w:r>
        <w:rPr>
          <w:rStyle w:val="FootnoteCharacters"/>
        </w:rPr>
        <w:footnoteRef/>
      </w:r>
      <w:r>
        <w:rPr/>
        <w:t xml:space="preserve"> </w:t>
      </w:r>
      <w:r>
        <w:rPr>
          <w:sz w:val="20"/>
        </w:rPr>
        <w:t>Pocta, ORA, Tr. Vol.  8, p. 955, lines 7-15.</w:t>
      </w:r>
    </w:p>
  </w:footnote>
  <w:footnote w:id="35">
    <w:p>
      <w:pPr>
        <w:pStyle w:val="FootnoteText"/>
        <w:rPr/>
      </w:pPr>
      <w:r>
        <w:rPr>
          <w:rStyle w:val="FootnoteCharacters"/>
        </w:rPr>
        <w:footnoteRef/>
      </w:r>
      <w:r>
        <w:rPr/>
        <w:t xml:space="preserve"> </w:t>
      </w:r>
      <w:r>
        <w:rPr>
          <w:sz w:val="20"/>
        </w:rPr>
        <w:t>Lorenz, SoCalGas, Tr. Vol.  4, p. 413, lines 22-28.</w:t>
      </w:r>
    </w:p>
  </w:footnote>
  <w:footnote w:id="36">
    <w:p>
      <w:pPr>
        <w:pStyle w:val="FootnoteText"/>
        <w:rPr/>
      </w:pPr>
      <w:r>
        <w:rPr>
          <w:rStyle w:val="FootnoteCharacters"/>
        </w:rPr>
        <w:footnoteRef/>
      </w:r>
      <w:r>
        <w:rPr/>
        <w:t xml:space="preserve"> </w:t>
      </w:r>
      <w:r>
        <w:rPr>
          <w:sz w:val="20"/>
        </w:rPr>
        <w:t>Lorenz, SoCalGas, Tr. Vol.  4, p. 410, lines 2-12.</w:t>
      </w:r>
    </w:p>
  </w:footnote>
  <w:footnote w:id="37">
    <w:p>
      <w:pPr>
        <w:pStyle w:val="FootnoteText"/>
        <w:rPr/>
      </w:pPr>
      <w:r>
        <w:rPr>
          <w:rStyle w:val="FootnoteCharacters"/>
        </w:rPr>
        <w:footnoteRef/>
      </w:r>
      <w:r>
        <w:rPr/>
        <w:t xml:space="preserve"> </w:t>
      </w:r>
      <w:r>
        <w:rPr>
          <w:sz w:val="20"/>
        </w:rPr>
        <w:t>Burkholder, WHP, Tr. Vol.  6, p. 661, lines 14-15; p. 654, line 13 – p. 657, line 12.</w:t>
      </w:r>
    </w:p>
  </w:footnote>
  <w:footnote w:id="38">
    <w:p>
      <w:pPr>
        <w:pStyle w:val="FootnoteText"/>
        <w:rPr/>
      </w:pPr>
      <w:r>
        <w:rPr>
          <w:rStyle w:val="FootnoteCharacters"/>
        </w:rPr>
        <w:footnoteRef/>
      </w:r>
      <w:r>
        <w:rPr/>
        <w:t xml:space="preserve"> </w:t>
      </w:r>
      <w:r>
        <w:rPr>
          <w:sz w:val="20"/>
        </w:rPr>
        <w:t>Comprehensive Settlement, Ex. 1, pp. 38-39.</w:t>
      </w:r>
    </w:p>
  </w:footnote>
  <w:footnote w:id="39">
    <w:p>
      <w:pPr>
        <w:pStyle w:val="FootnoteText"/>
        <w:rPr/>
      </w:pPr>
      <w:r>
        <w:rPr>
          <w:rStyle w:val="FootnoteCharacters"/>
        </w:rPr>
        <w:footnoteRef/>
      </w:r>
      <w:r>
        <w:rPr/>
        <w:t xml:space="preserve"> </w:t>
      </w:r>
      <w:r>
        <w:rPr>
          <w:sz w:val="20"/>
        </w:rPr>
        <w:t>Burkholder, WHP, Tr. Vol.  6, p. 651, line 11 – p. 652, line 19.</w:t>
      </w:r>
    </w:p>
  </w:footnote>
  <w:footnote w:id="40">
    <w:p>
      <w:pPr>
        <w:pStyle w:val="FootnoteText"/>
        <w:rPr/>
      </w:pPr>
      <w:r>
        <w:rPr>
          <w:rStyle w:val="FootnoteCharacters"/>
        </w:rPr>
        <w:footnoteRef/>
      </w:r>
      <w:r>
        <w:rPr/>
        <w:t xml:space="preserve"> </w:t>
      </w:r>
      <w:r>
        <w:rPr>
          <w:sz w:val="20"/>
        </w:rPr>
        <w:t>Burkholder, WHP, Tr. Vol.  6, p. 647, line 8 – p. 648, line 19.</w:t>
      </w:r>
    </w:p>
  </w:footnote>
  <w:footnote w:id="41">
    <w:p>
      <w:pPr>
        <w:pStyle w:val="FootnoteText"/>
        <w:rPr/>
      </w:pPr>
      <w:r>
        <w:rPr>
          <w:rStyle w:val="FootnoteCharacters"/>
        </w:rPr>
        <w:footnoteRef/>
      </w:r>
      <w:r>
        <w:rPr/>
        <w:t xml:space="preserve"> </w:t>
      </w:r>
      <w:r>
        <w:rPr>
          <w:sz w:val="20"/>
        </w:rPr>
        <w:t>Amirault, WGSI, Tr. Vol.  4, p. 426-429; Tr. Vol.  5, p. 576, line 1 – p. 577, line 2.</w:t>
      </w:r>
    </w:p>
  </w:footnote>
  <w:footnote w:id="42">
    <w:p>
      <w:pPr>
        <w:pStyle w:val="FootnoteText"/>
        <w:rPr/>
      </w:pPr>
      <w:r>
        <w:rPr>
          <w:rStyle w:val="FootnoteCharacters"/>
        </w:rPr>
        <w:footnoteRef/>
      </w:r>
      <w:r>
        <w:rPr/>
        <w:t xml:space="preserve"> </w:t>
      </w:r>
      <w:r>
        <w:rPr>
          <w:sz w:val="20"/>
        </w:rPr>
        <w:t>Amirault, WGSI, Tr. Vol.  5, p. 582, lines 3 --25.</w:t>
      </w:r>
    </w:p>
  </w:footnote>
  <w:footnote w:id="43">
    <w:p>
      <w:pPr>
        <w:pStyle w:val="FootnoteText"/>
        <w:rPr/>
      </w:pPr>
      <w:r>
        <w:rPr>
          <w:rStyle w:val="FootnoteCharacters"/>
        </w:rPr>
        <w:footnoteRef/>
      </w:r>
      <w:r>
        <w:rPr/>
        <w:t xml:space="preserve"> </w:t>
      </w:r>
      <w:r>
        <w:rPr>
          <w:sz w:val="20"/>
        </w:rPr>
        <w:t>Burkholder, WHP, Tr. Vol.  6, p. 648, line 24 -- p. 649, line 21.</w:t>
      </w:r>
    </w:p>
  </w:footnote>
  <w:footnote w:id="44">
    <w:p>
      <w:pPr>
        <w:pStyle w:val="FootnoteText"/>
        <w:rPr/>
      </w:pPr>
      <w:r>
        <w:rPr>
          <w:rStyle w:val="FootnoteCharacters"/>
        </w:rPr>
        <w:footnoteRef/>
      </w:r>
      <w:r>
        <w:rPr/>
        <w:t xml:space="preserve"> </w:t>
      </w:r>
      <w:r>
        <w:rPr>
          <w:sz w:val="20"/>
        </w:rPr>
        <w:t>Lorenz, SoCalGas, Tr. Vol.  6, p. 715, line 13 – p. 716, line 14; p. 720, line 6 – p. 721, line 7.</w:t>
      </w:r>
    </w:p>
  </w:footnote>
  <w:footnote w:id="45">
    <w:p>
      <w:pPr>
        <w:pStyle w:val="FootnoteText"/>
        <w:rPr/>
      </w:pPr>
      <w:r>
        <w:rPr>
          <w:rStyle w:val="FootnoteCharacters"/>
        </w:rPr>
        <w:footnoteRef/>
      </w:r>
      <w:r>
        <w:rPr/>
        <w:t xml:space="preserve"> </w:t>
      </w:r>
      <w:r>
        <w:rPr>
          <w:sz w:val="20"/>
        </w:rPr>
        <w:t>Amirault, WGSI, Ex. 16, pp. 1-3; Lorenz, SoCalGas, Ex. 14, p. 7.</w:t>
      </w:r>
    </w:p>
  </w:footnote>
  <w:footnote w:id="46">
    <w:p>
      <w:pPr>
        <w:pStyle w:val="FootnoteText"/>
        <w:rPr/>
      </w:pPr>
      <w:r>
        <w:rPr>
          <w:rStyle w:val="FootnoteCharacters"/>
        </w:rPr>
        <w:footnoteRef/>
      </w:r>
      <w:r>
        <w:rPr/>
        <w:t xml:space="preserve"> </w:t>
      </w:r>
      <w:r>
        <w:rPr>
          <w:sz w:val="20"/>
        </w:rPr>
        <w:t>D.99-07-015, pp.  36-39; Appendix C, p. 1.</w:t>
      </w:r>
    </w:p>
  </w:footnote>
  <w:footnote w:id="47">
    <w:p>
      <w:pPr>
        <w:pStyle w:val="FootnoteText"/>
        <w:rPr/>
      </w:pPr>
      <w:r>
        <w:rPr>
          <w:rStyle w:val="FootnoteCharacters"/>
        </w:rPr>
        <w:footnoteRef/>
      </w:r>
      <w:r>
        <w:rPr/>
        <w:t xml:space="preserve"> </w:t>
      </w:r>
      <w:r>
        <w:rPr>
          <w:sz w:val="20"/>
        </w:rPr>
        <w:t>Lorenz, SoCalGas, Tr. Vol.  6, p. 748, line 21 – p. 749, line 2.</w:t>
      </w:r>
    </w:p>
  </w:footnote>
  <w:footnote w:id="48">
    <w:p>
      <w:pPr>
        <w:pStyle w:val="FootnoteText"/>
        <w:rPr/>
      </w:pPr>
      <w:r>
        <w:rPr>
          <w:rStyle w:val="FootnoteCharacters"/>
        </w:rPr>
        <w:footnoteRef/>
      </w:r>
      <w:r>
        <w:rPr/>
        <w:t xml:space="preserve"> </w:t>
      </w:r>
      <w:r>
        <w:rPr>
          <w:sz w:val="20"/>
        </w:rPr>
        <w:t>Comprehensive Settlement, Ex. 1, pp. 41-45.</w:t>
      </w:r>
    </w:p>
  </w:footnote>
  <w:footnote w:id="49">
    <w:p>
      <w:pPr>
        <w:pStyle w:val="FootnoteText"/>
        <w:rPr/>
      </w:pPr>
      <w:r>
        <w:rPr>
          <w:rStyle w:val="FootnoteCharacters"/>
        </w:rPr>
        <w:footnoteRef/>
      </w:r>
      <w:r>
        <w:rPr/>
        <w:t xml:space="preserve"> </w:t>
      </w:r>
      <w:r>
        <w:rPr>
          <w:sz w:val="20"/>
        </w:rPr>
        <w:t>Amirault, WGSI, Tr. Vol.  5, p. 588, line 2 – p. 589, line 14.</w:t>
      </w:r>
    </w:p>
  </w:footnote>
  <w:footnote w:id="50">
    <w:p>
      <w:pPr>
        <w:pStyle w:val="FootnoteText"/>
        <w:rPr/>
      </w:pPr>
      <w:r>
        <w:rPr>
          <w:rStyle w:val="FootnoteCharacters"/>
        </w:rPr>
        <w:footnoteRef/>
      </w:r>
      <w:r>
        <w:rPr/>
        <w:t xml:space="preserve"> </w:t>
      </w:r>
      <w:r>
        <w:rPr>
          <w:sz w:val="20"/>
        </w:rPr>
        <w:t>Comprehensive Settlement, Ex. 1, Appendix D.</w:t>
      </w:r>
    </w:p>
  </w:footnote>
  <w:footnote w:id="51">
    <w:p>
      <w:pPr>
        <w:pStyle w:val="FootnoteText"/>
        <w:rPr/>
      </w:pPr>
      <w:r>
        <w:rPr>
          <w:rStyle w:val="FootnoteCharacters"/>
        </w:rPr>
        <w:footnoteRef/>
      </w:r>
      <w:r>
        <w:rPr/>
        <w:t xml:space="preserve"> </w:t>
      </w:r>
      <w:r>
        <w:rPr>
          <w:sz w:val="20"/>
        </w:rPr>
        <w:t>Comprehensive Settlement, Ex. 1, pp. 45-50; D.00-05-049, pp. 28, 30, Attachment A, p. 8-13.</w:t>
      </w:r>
    </w:p>
  </w:footnote>
  <w:footnote w:id="52">
    <w:p>
      <w:pPr>
        <w:pStyle w:val="FootnoteText"/>
        <w:rPr/>
      </w:pPr>
      <w:r>
        <w:rPr>
          <w:rStyle w:val="FootnoteCharacters"/>
        </w:rPr>
        <w:footnoteRef/>
      </w:r>
      <w:r>
        <w:rPr/>
        <w:t xml:space="preserve"> </w:t>
      </w:r>
      <w:r>
        <w:rPr>
          <w:sz w:val="20"/>
        </w:rPr>
        <w:t>Amirault, WGSI, Tr. Vol.  5, p. 602, line 13 – p. 604, line 5.</w:t>
      </w:r>
    </w:p>
  </w:footnote>
  <w:footnote w:id="53">
    <w:p>
      <w:pPr>
        <w:pStyle w:val="FootnoteText"/>
        <w:rPr/>
      </w:pPr>
      <w:r>
        <w:rPr>
          <w:rStyle w:val="FootnoteCharacters"/>
        </w:rPr>
        <w:footnoteRef/>
      </w:r>
      <w:r>
        <w:rPr/>
        <w:t xml:space="preserve"> </w:t>
      </w:r>
      <w:r>
        <w:rPr>
          <w:sz w:val="20"/>
        </w:rPr>
        <w:t>Amirault, WGSI, Tr. Vol.  4, pp. 470-471; Dasovich, Enron, Tr. Vol.  4, pp. 472-473; Pocta, ORA, Tr. Vol.  4, p. 474.</w:t>
      </w:r>
    </w:p>
  </w:footnote>
  <w:footnote w:id="54">
    <w:p>
      <w:pPr>
        <w:pStyle w:val="FootnoteText"/>
        <w:rPr/>
      </w:pPr>
      <w:r>
        <w:rPr>
          <w:rStyle w:val="FootnoteCharacters"/>
        </w:rPr>
        <w:footnoteRef/>
      </w:r>
      <w:r>
        <w:rPr/>
        <w:t xml:space="preserve"> </w:t>
      </w:r>
      <w:r>
        <w:rPr>
          <w:sz w:val="20"/>
        </w:rPr>
        <w:t>Amirault, WGSI, Tr. Vol.  4, pp. 470-471; Lorenz, SoCalGas, Tr. Vol.  8, p. 988, line 21 – p. 989, line 2..</w:t>
      </w:r>
    </w:p>
  </w:footnote>
  <w:footnote w:id="55">
    <w:p>
      <w:pPr>
        <w:pStyle w:val="FootnoteText"/>
        <w:rPr/>
      </w:pPr>
      <w:r>
        <w:rPr>
          <w:rStyle w:val="FootnoteCharacters"/>
        </w:rPr>
        <w:footnoteRef/>
      </w:r>
      <w:r>
        <w:rPr/>
        <w:t xml:space="preserve"> </w:t>
      </w:r>
      <w:r>
        <w:rPr>
          <w:sz w:val="20"/>
        </w:rPr>
        <w:t>Dasovich, Enron, Tr. Vol.  4, p. 478, lines 11-15.</w:t>
      </w:r>
    </w:p>
  </w:footnote>
  <w:footnote w:id="56">
    <w:p>
      <w:pPr>
        <w:pStyle w:val="FootnoteText"/>
        <w:rPr/>
      </w:pPr>
      <w:r>
        <w:rPr>
          <w:rStyle w:val="FootnoteCharacters"/>
        </w:rPr>
        <w:footnoteRef/>
      </w:r>
      <w:r>
        <w:rPr/>
        <w:t xml:space="preserve"> </w:t>
      </w:r>
      <w:r>
        <w:rPr>
          <w:sz w:val="20"/>
        </w:rPr>
        <w:t>Comprehensive Settlement, Ex. 1, pp. 53-57.</w:t>
      </w:r>
    </w:p>
  </w:footnote>
  <w:footnote w:id="57">
    <w:p>
      <w:pPr>
        <w:pStyle w:val="FootnoteText"/>
        <w:rPr/>
      </w:pPr>
      <w:r>
        <w:rPr>
          <w:rStyle w:val="FootnoteCharacters"/>
        </w:rPr>
        <w:footnoteRef/>
      </w:r>
      <w:r>
        <w:rPr/>
        <w:t xml:space="preserve"> </w:t>
      </w:r>
      <w:r>
        <w:rPr>
          <w:sz w:val="20"/>
        </w:rPr>
        <w:t>Lorenz, SoCalGas, Ex. 2, Attachment 8; Florio, TURN, Tr.Vol. 2, p. 110, lines 3-5; Pocta, ORA, Tr.Vol. 8, p. 482, lines 11-12</w:t>
      </w:r>
      <w:r>
        <w:rPr/>
        <w:t>.</w:t>
      </w:r>
    </w:p>
  </w:footnote>
  <w:footnote w:id="58">
    <w:p>
      <w:pPr>
        <w:pStyle w:val="FootnoteText"/>
        <w:rPr/>
      </w:pPr>
      <w:r>
        <w:rPr>
          <w:rStyle w:val="FootnoteCharacters"/>
        </w:rPr>
        <w:footnoteRef/>
      </w:r>
      <w:r>
        <w:rPr/>
        <w:t xml:space="preserve"> </w:t>
      </w:r>
      <w:r>
        <w:rPr>
          <w:sz w:val="20"/>
        </w:rPr>
        <w:t>Florio, TURN, Tr. Vol.  2, p. 205, lines 1-16.</w:t>
      </w:r>
    </w:p>
  </w:footnote>
  <w:footnote w:id="59">
    <w:p>
      <w:pPr>
        <w:pStyle w:val="FootnoteText"/>
        <w:rPr/>
      </w:pPr>
      <w:r>
        <w:rPr>
          <w:rStyle w:val="FootnoteCharacters"/>
        </w:rPr>
        <w:footnoteRef/>
      </w:r>
      <w:r>
        <w:rPr/>
        <w:t xml:space="preserve"> </w:t>
      </w:r>
      <w:r>
        <w:rPr>
          <w:sz w:val="20"/>
        </w:rPr>
        <w:t>Post Interim Settlement, Ex. 100, Section 4.7.1.; Yap, SCGC, Ex. 101, p. 53, lines 16-18.</w:t>
      </w:r>
    </w:p>
  </w:footnote>
  <w:footnote w:id="60">
    <w:p>
      <w:pPr>
        <w:pStyle w:val="FootnoteText"/>
        <w:rPr/>
      </w:pPr>
      <w:r>
        <w:rPr>
          <w:rStyle w:val="FootnoteCharacters"/>
        </w:rPr>
        <w:footnoteRef/>
      </w:r>
      <w:r>
        <w:rPr/>
        <w:t xml:space="preserve"> </w:t>
      </w:r>
      <w:r>
        <w:rPr>
          <w:sz w:val="20"/>
        </w:rPr>
        <w:t>Yap, SCGC, Tr. Vol.  3, pp. 264-270.</w:t>
      </w:r>
    </w:p>
  </w:footnote>
  <w:footnote w:id="61">
    <w:p>
      <w:pPr>
        <w:pStyle w:val="FootnoteText"/>
        <w:rPr/>
      </w:pPr>
      <w:r>
        <w:rPr>
          <w:rStyle w:val="FootnoteCharacters"/>
        </w:rPr>
        <w:footnoteRef/>
      </w:r>
      <w:r>
        <w:rPr/>
        <w:t xml:space="preserve"> </w:t>
      </w:r>
      <w:r>
        <w:rPr>
          <w:sz w:val="20"/>
        </w:rPr>
        <w:t>D.99-07-015, pp. 133 mimeo.</w:t>
      </w:r>
    </w:p>
  </w:footnote>
  <w:footnote w:id="62">
    <w:p>
      <w:pPr>
        <w:pStyle w:val="FootnoteText"/>
        <w:rPr/>
      </w:pPr>
      <w:r>
        <w:rPr>
          <w:rStyle w:val="FootnoteCharacters"/>
        </w:rPr>
        <w:footnoteRef/>
      </w:r>
      <w:r>
        <w:rPr/>
        <w:t xml:space="preserve"> </w:t>
      </w:r>
      <w:r>
        <w:rPr>
          <w:sz w:val="20"/>
        </w:rPr>
        <w:t>Lorenz, SoCalGas, Tr. Vol.  3, pp. 356-365.</w:t>
      </w:r>
    </w:p>
  </w:footnote>
  <w:footnote w:id="63">
    <w:p>
      <w:pPr>
        <w:pStyle w:val="FootnoteText"/>
        <w:rPr/>
      </w:pPr>
      <w:r>
        <w:rPr>
          <w:rStyle w:val="FootnoteCharacters"/>
        </w:rPr>
        <w:footnoteRef/>
      </w:r>
      <w:r>
        <w:rPr/>
        <w:t xml:space="preserve"> </w:t>
      </w:r>
      <w:r>
        <w:rPr>
          <w:sz w:val="20"/>
        </w:rPr>
        <w:t>Comments of Enron Corporation, Enron Energy Services, and Enron Capital and Trade Resources on Strategies for Natural Gas Reform, R. 98-01-011, filed March 23, 1998; Figure 3 at page 9.</w:t>
      </w:r>
    </w:p>
  </w:footnote>
  <w:footnote w:id="64">
    <w:p>
      <w:pPr>
        <w:pStyle w:val="FootnoteText"/>
        <w:rPr/>
      </w:pPr>
      <w:r>
        <w:rPr>
          <w:rStyle w:val="FootnoteCharacters"/>
        </w:rPr>
        <w:footnoteRef/>
      </w:r>
      <w:r>
        <w:rPr/>
        <w:t xml:space="preserve"> </w:t>
      </w:r>
      <w:r>
        <w:rPr>
          <w:sz w:val="20"/>
        </w:rPr>
        <w:t>Lorenz, SoCalGas, Tr. Vol.  3, p. 356, lines 14-23.</w:t>
      </w:r>
    </w:p>
  </w:footnote>
  <w:footnote w:id="65">
    <w:p>
      <w:pPr>
        <w:pStyle w:val="FootnoteText"/>
        <w:rPr/>
      </w:pPr>
      <w:r>
        <w:rPr>
          <w:rStyle w:val="FootnoteCharacters"/>
        </w:rPr>
        <w:footnoteRef/>
      </w:r>
      <w:r>
        <w:rPr/>
        <w:t xml:space="preserve"> </w:t>
      </w:r>
      <w:r>
        <w:rPr>
          <w:sz w:val="20"/>
        </w:rPr>
        <w:t>Beach, Vernon, Tr. Vol.  4, pp. 376-379.</w:t>
      </w:r>
    </w:p>
  </w:footnote>
  <w:footnote w:id="66">
    <w:p>
      <w:pPr>
        <w:pStyle w:val="FootnoteText"/>
        <w:rPr/>
      </w:pPr>
      <w:r>
        <w:rPr>
          <w:rStyle w:val="FootnoteCharacters"/>
        </w:rPr>
        <w:footnoteRef/>
      </w:r>
      <w:r>
        <w:rPr/>
        <w:t xml:space="preserve"> </w:t>
      </w:r>
      <w:r>
        <w:rPr>
          <w:sz w:val="20"/>
        </w:rPr>
        <w:t>Beach, Vernon, Ex. 18, p. 6.</w:t>
      </w:r>
    </w:p>
  </w:footnote>
  <w:footnote w:id="67">
    <w:p>
      <w:pPr>
        <w:pStyle w:val="FootnoteText"/>
        <w:rPr/>
      </w:pPr>
      <w:r>
        <w:rPr>
          <w:rStyle w:val="FootnoteCharacters"/>
        </w:rPr>
        <w:footnoteRef/>
      </w:r>
      <w:r>
        <w:rPr/>
        <w:t xml:space="preserve"> </w:t>
      </w:r>
      <w:r>
        <w:rPr>
          <w:sz w:val="20"/>
        </w:rPr>
        <w:t>Dasovich, Enron, Tr. Vol.  4, p. 374, line 26 – p. 375, line 24.</w:t>
      </w:r>
    </w:p>
  </w:footnote>
  <w:footnote w:id="68">
    <w:p>
      <w:pPr>
        <w:pStyle w:val="FootnoteText"/>
        <w:rPr/>
      </w:pPr>
      <w:r>
        <w:rPr>
          <w:rStyle w:val="FootnoteCharacters"/>
        </w:rPr>
        <w:footnoteRef/>
      </w:r>
      <w:r>
        <w:rPr/>
        <w:t xml:space="preserve"> </w:t>
      </w:r>
      <w:r>
        <w:rPr>
          <w:sz w:val="20"/>
        </w:rPr>
        <w:t>Pocta, ORA, Ex. 4, pp. 5-8.</w:t>
      </w:r>
    </w:p>
  </w:footnote>
  <w:footnote w:id="69">
    <w:p>
      <w:pPr>
        <w:pStyle w:val="FootnoteText"/>
        <w:rPr/>
      </w:pPr>
      <w:r>
        <w:rPr>
          <w:rStyle w:val="FootnoteCharacters"/>
        </w:rPr>
        <w:footnoteRef/>
      </w:r>
      <w:r>
        <w:rPr/>
        <w:t xml:space="preserve"> </w:t>
      </w:r>
      <w:r>
        <w:rPr>
          <w:sz w:val="20"/>
        </w:rPr>
        <w:t>Pocta, ORA, Ex. 4, pp. 8-10.</w:t>
      </w:r>
    </w:p>
  </w:footnote>
  <w:footnote w:id="70">
    <w:p>
      <w:pPr>
        <w:pStyle w:val="FootnoteText"/>
        <w:rPr/>
      </w:pPr>
      <w:r>
        <w:rPr>
          <w:rStyle w:val="FootnoteCharacters"/>
        </w:rPr>
        <w:footnoteRef/>
      </w:r>
      <w:r>
        <w:rPr/>
        <w:t xml:space="preserve"> </w:t>
      </w:r>
      <w:r>
        <w:rPr>
          <w:sz w:val="20"/>
        </w:rPr>
        <w:t>Pocta, ORA, Ex. 4, pp. 10-12.</w:t>
      </w:r>
    </w:p>
  </w:footnote>
  <w:footnote w:id="71">
    <w:p>
      <w:pPr>
        <w:pStyle w:val="FootnoteText"/>
        <w:rPr/>
      </w:pPr>
      <w:r>
        <w:rPr>
          <w:rStyle w:val="FootnoteCharacters"/>
        </w:rPr>
        <w:footnoteRef/>
      </w:r>
      <w:r>
        <w:rPr/>
        <w:t xml:space="preserve"> </w:t>
      </w:r>
      <w:r>
        <w:rPr>
          <w:sz w:val="20"/>
        </w:rPr>
        <w:t>Pocta, ORA, Ex. 4, pp. 12-16.</w:t>
      </w:r>
    </w:p>
  </w:footnote>
  <w:footnote w:id="72">
    <w:p>
      <w:pPr>
        <w:pStyle w:val="FootnoteText"/>
        <w:rPr/>
      </w:pPr>
      <w:r>
        <w:rPr>
          <w:rStyle w:val="FootnoteCharacters"/>
        </w:rPr>
        <w:footnoteRef/>
      </w:r>
      <w:r>
        <w:rPr/>
        <w:t xml:space="preserve"> </w:t>
      </w:r>
      <w:r>
        <w:rPr>
          <w:sz w:val="20"/>
        </w:rPr>
        <w:t>Pocta, ORA, Ex. 4, p. 16.</w:t>
      </w:r>
    </w:p>
  </w:footnote>
  <w:footnote w:id="73">
    <w:p>
      <w:pPr>
        <w:pStyle w:val="FootnoteText"/>
        <w:rPr/>
      </w:pPr>
      <w:r>
        <w:rPr>
          <w:rStyle w:val="FootnoteCharacters"/>
        </w:rPr>
        <w:footnoteRef/>
      </w:r>
      <w:r>
        <w:rPr/>
        <w:t xml:space="preserve"> </w:t>
      </w:r>
      <w:r>
        <w:rPr>
          <w:sz w:val="20"/>
        </w:rPr>
        <w:t>Lorenz, SoCalGas, Tr. Vol.  8, p. 991, line 18 – p. 993, line 13.</w:t>
      </w:r>
    </w:p>
  </w:footnote>
  <w:footnote w:id="74">
    <w:p>
      <w:pPr>
        <w:pStyle w:val="FootnoteText"/>
        <w:rPr/>
      </w:pPr>
      <w:r>
        <w:rPr>
          <w:rStyle w:val="FootnoteCharacters"/>
        </w:rPr>
        <w:footnoteRef/>
      </w:r>
      <w:r>
        <w:rPr/>
        <w:t xml:space="preserve"> </w:t>
      </w:r>
      <w:r>
        <w:rPr>
          <w:sz w:val="20"/>
        </w:rPr>
        <w:t>Florio, TURN, Tr. Vol.  3, p. 344.</w:t>
      </w:r>
    </w:p>
  </w:footnote>
  <w:footnote w:id="75">
    <w:p>
      <w:pPr>
        <w:pStyle w:val="FootnoteText"/>
        <w:rPr/>
      </w:pPr>
      <w:r>
        <w:rPr>
          <w:rStyle w:val="FootnoteCharacters"/>
        </w:rPr>
        <w:footnoteRef/>
      </w:r>
      <w:r>
        <w:rPr/>
        <w:t xml:space="preserve"> </w:t>
      </w:r>
      <w:r>
        <w:rPr>
          <w:sz w:val="20"/>
        </w:rPr>
        <w:t>Lorenz, SoCalGas, Tr. Vol.  4, p. 416, lines 15-24.</w:t>
      </w:r>
    </w:p>
  </w:footnote>
  <w:footnote w:id="76">
    <w:p>
      <w:pPr>
        <w:pStyle w:val="FootnoteText"/>
        <w:rPr/>
      </w:pPr>
      <w:r>
        <w:rPr>
          <w:rStyle w:val="FootnoteCharacters"/>
        </w:rPr>
        <w:footnoteRef/>
      </w:r>
      <w:r>
        <w:rPr/>
        <w:t xml:space="preserve"> </w:t>
      </w:r>
      <w:r>
        <w:rPr>
          <w:sz w:val="20"/>
        </w:rPr>
        <w:t>Amirault, WGSI, Ex. 16, pp. 4-5.</w:t>
      </w:r>
    </w:p>
  </w:footnote>
  <w:footnote w:id="77">
    <w:p>
      <w:pPr>
        <w:pStyle w:val="FootnoteText"/>
        <w:rPr/>
      </w:pPr>
      <w:r>
        <w:rPr>
          <w:rStyle w:val="FootnoteCharacters"/>
        </w:rPr>
        <w:footnoteRef/>
      </w:r>
      <w:r>
        <w:rPr/>
        <w:t xml:space="preserve"> </w:t>
      </w:r>
      <w:r>
        <w:rPr>
          <w:sz w:val="20"/>
        </w:rPr>
        <w:t>Lorenz, SoCalGas, Tr. Vol.  4, p. 439, lines 4-22.</w:t>
      </w:r>
    </w:p>
  </w:footnote>
  <w:footnote w:id="78">
    <w:p>
      <w:pPr>
        <w:pStyle w:val="FootnoteText"/>
        <w:rPr/>
      </w:pPr>
      <w:r>
        <w:rPr>
          <w:rStyle w:val="FootnoteCharacters"/>
        </w:rPr>
        <w:footnoteRef/>
      </w:r>
      <w:r>
        <w:rPr/>
        <w:t xml:space="preserve"> </w:t>
      </w:r>
      <w:r>
        <w:rPr>
          <w:sz w:val="20"/>
        </w:rPr>
        <w:t>See discussion above at pp. 18-19.</w:t>
      </w:r>
    </w:p>
  </w:footnote>
  <w:footnote w:id="79">
    <w:p>
      <w:pPr>
        <w:pStyle w:val="FootnoteText"/>
        <w:rPr/>
      </w:pPr>
      <w:r>
        <w:rPr>
          <w:rStyle w:val="FootnoteCharacters"/>
        </w:rPr>
        <w:footnoteRef/>
      </w:r>
      <w:r>
        <w:rPr/>
        <w:t xml:space="preserve"> </w:t>
      </w:r>
      <w:r>
        <w:rPr>
          <w:sz w:val="20"/>
        </w:rPr>
        <w:t>Beach, Vernon, Ex. 5, pp. 4-5, Figure 1.</w:t>
      </w:r>
    </w:p>
  </w:footnote>
  <w:footnote w:id="80">
    <w:p>
      <w:pPr>
        <w:pStyle w:val="FootnoteText"/>
        <w:rPr/>
      </w:pPr>
      <w:r>
        <w:rPr>
          <w:rStyle w:val="FootnoteCharacters"/>
        </w:rPr>
        <w:footnoteRef/>
      </w:r>
      <w:r>
        <w:rPr/>
        <w:t xml:space="preserve"> </w:t>
      </w:r>
      <w:r>
        <w:rPr>
          <w:sz w:val="20"/>
        </w:rPr>
        <w:t>Beach, Vernon, Ex. 18, p. 9.</w:t>
      </w:r>
    </w:p>
  </w:footnote>
  <w:footnote w:id="81">
    <w:p>
      <w:pPr>
        <w:pStyle w:val="FootnoteText"/>
        <w:rPr/>
      </w:pPr>
      <w:r>
        <w:rPr>
          <w:rStyle w:val="FootnoteCharacters"/>
        </w:rPr>
        <w:footnoteRef/>
      </w:r>
      <w:r>
        <w:rPr/>
        <w:t xml:space="preserve"> </w:t>
      </w:r>
      <w:r>
        <w:rPr>
          <w:sz w:val="20"/>
        </w:rPr>
        <w:t>Yap, SCGC, T.Vol. 2, p. 206, line 21.</w:t>
      </w:r>
    </w:p>
  </w:footnote>
  <w:footnote w:id="82">
    <w:p>
      <w:pPr>
        <w:pStyle w:val="FootnoteText"/>
        <w:rPr/>
      </w:pPr>
      <w:r>
        <w:rPr>
          <w:rStyle w:val="FootnoteCharacters"/>
        </w:rPr>
        <w:footnoteRef/>
      </w:r>
      <w:r>
        <w:rPr/>
        <w:t xml:space="preserve"> </w:t>
      </w:r>
      <w:r>
        <w:rPr>
          <w:sz w:val="20"/>
        </w:rPr>
        <w:t xml:space="preserve">Yap, SCGC, Tr. Vol.  2, p. 139, line 1 – p. 140, line 25; p. 167, line 23 - p. 168, line 26. </w:t>
      </w:r>
    </w:p>
  </w:footnote>
  <w:footnote w:id="83">
    <w:p>
      <w:pPr>
        <w:pStyle w:val="FootnoteText"/>
        <w:rPr/>
      </w:pPr>
      <w:r>
        <w:rPr>
          <w:rStyle w:val="FootnoteCharacters"/>
        </w:rPr>
        <w:footnoteRef/>
      </w:r>
      <w:r>
        <w:rPr/>
        <w:t xml:space="preserve"> </w:t>
      </w:r>
      <w:r>
        <w:rPr>
          <w:sz w:val="20"/>
        </w:rPr>
        <w:t>Lorenz, SoCalGas, Tr. Vol.  7, p. 885, line 26 – p. 886, line 9.</w:t>
      </w:r>
    </w:p>
  </w:footnote>
  <w:footnote w:id="84">
    <w:p>
      <w:pPr>
        <w:pStyle w:val="FootnoteText"/>
        <w:rPr/>
      </w:pPr>
      <w:r>
        <w:rPr>
          <w:rStyle w:val="FootnoteCharacters"/>
        </w:rPr>
        <w:footnoteRef/>
      </w:r>
      <w:r>
        <w:rPr/>
        <w:t xml:space="preserve"> </w:t>
      </w:r>
      <w:r>
        <w:rPr>
          <w:sz w:val="20"/>
        </w:rPr>
        <w:t>Beach, Vernon, Tr. Vol.  7, p. 896, lines 15-20.</w:t>
      </w:r>
    </w:p>
  </w:footnote>
  <w:footnote w:id="85">
    <w:p>
      <w:pPr>
        <w:pStyle w:val="FootnoteText"/>
        <w:rPr/>
      </w:pPr>
      <w:r>
        <w:rPr>
          <w:rStyle w:val="FootnoteCharacters"/>
        </w:rPr>
        <w:footnoteRef/>
      </w:r>
      <w:r>
        <w:rPr/>
        <w:t xml:space="preserve"> </w:t>
      </w:r>
      <w:r>
        <w:rPr>
          <w:sz w:val="20"/>
        </w:rPr>
        <w:t>Yap, SCGC, Ex. 100, Table 1, page 12.</w:t>
      </w:r>
    </w:p>
  </w:footnote>
  <w:footnote w:id="86">
    <w:p>
      <w:pPr>
        <w:pStyle w:val="FootnoteText"/>
        <w:rPr/>
      </w:pPr>
      <w:r>
        <w:rPr>
          <w:rStyle w:val="FootnoteCharacters"/>
        </w:rPr>
        <w:footnoteRef/>
      </w:r>
      <w:r>
        <w:rPr/>
        <w:t xml:space="preserve"> </w:t>
      </w:r>
      <w:r>
        <w:rPr>
          <w:sz w:val="20"/>
        </w:rPr>
        <w:t>Lorenz, SoCalGas, Tr. Vol.  8, p. 977, lines 15-17.</w:t>
      </w:r>
    </w:p>
  </w:footnote>
  <w:footnote w:id="87">
    <w:p>
      <w:pPr>
        <w:pStyle w:val="FootnoteText"/>
        <w:rPr/>
      </w:pPr>
      <w:r>
        <w:rPr>
          <w:rStyle w:val="FootnoteCharacters"/>
        </w:rPr>
        <w:footnoteRef/>
      </w:r>
      <w:r>
        <w:rPr/>
        <w:t xml:space="preserve"> </w:t>
      </w:r>
      <w:r>
        <w:rPr>
          <w:sz w:val="20"/>
        </w:rPr>
        <w:t>Fawcett, Transwestern, Ex. 17, p. 2.</w:t>
      </w:r>
    </w:p>
  </w:footnote>
  <w:footnote w:id="88">
    <w:p>
      <w:pPr>
        <w:pStyle w:val="FootnoteText"/>
        <w:rPr/>
      </w:pPr>
      <w:r>
        <w:rPr>
          <w:rStyle w:val="FootnoteCharacters"/>
        </w:rPr>
        <w:footnoteRef/>
      </w:r>
      <w:r>
        <w:rPr/>
        <w:t xml:space="preserve"> </w:t>
      </w:r>
      <w:r>
        <w:rPr>
          <w:sz w:val="20"/>
        </w:rPr>
        <w:t>Yap, SCGC, Tr. Vol.  3, p. 331, lines 6-25.</w:t>
      </w:r>
    </w:p>
  </w:footnote>
  <w:footnote w:id="89">
    <w:p>
      <w:pPr>
        <w:pStyle w:val="FootnoteText"/>
        <w:rPr/>
      </w:pPr>
      <w:r>
        <w:rPr>
          <w:rStyle w:val="FootnoteCharacters"/>
        </w:rPr>
        <w:footnoteRef/>
      </w:r>
      <w:r>
        <w:rPr/>
        <w:t xml:space="preserve"> </w:t>
      </w:r>
      <w:r>
        <w:rPr>
          <w:sz w:val="20"/>
        </w:rPr>
        <w:t>Beach, Vernon, Ex. 18, p. 7.</w:t>
      </w:r>
    </w:p>
  </w:footnote>
  <w:footnote w:id="90">
    <w:p>
      <w:pPr>
        <w:pStyle w:val="FootnoteText"/>
        <w:rPr/>
      </w:pPr>
      <w:r>
        <w:rPr>
          <w:rStyle w:val="FootnoteCharacters"/>
        </w:rPr>
        <w:footnoteRef/>
      </w:r>
      <w:r>
        <w:rPr/>
        <w:t xml:space="preserve"> </w:t>
      </w:r>
      <w:r>
        <w:rPr>
          <w:sz w:val="20"/>
          <w:u w:val="single"/>
        </w:rPr>
        <w:t>Id</w:t>
      </w:r>
      <w:r>
        <w:rPr>
          <w:sz w:val="20"/>
        </w:rPr>
        <w:t>.</w:t>
      </w:r>
    </w:p>
  </w:footnote>
  <w:footnote w:id="91">
    <w:p>
      <w:pPr>
        <w:pStyle w:val="FootnoteText"/>
        <w:rPr/>
      </w:pPr>
      <w:r>
        <w:rPr>
          <w:rStyle w:val="FootnoteCharacters"/>
        </w:rPr>
        <w:footnoteRef/>
      </w:r>
      <w:r>
        <w:rPr/>
        <w:t xml:space="preserve"> </w:t>
      </w:r>
      <w:r>
        <w:rPr>
          <w:sz w:val="20"/>
        </w:rPr>
        <w:t>Yap, SCGC, Tr. Vol.  2, p. 145, lines 11-17.</w:t>
      </w:r>
    </w:p>
  </w:footnote>
  <w:footnote w:id="92">
    <w:p>
      <w:pPr>
        <w:pStyle w:val="FootnoteText"/>
        <w:rPr/>
      </w:pPr>
      <w:r>
        <w:rPr>
          <w:rStyle w:val="FootnoteCharacters"/>
        </w:rPr>
        <w:footnoteRef/>
      </w:r>
      <w:r>
        <w:rPr/>
        <w:t xml:space="preserve"> </w:t>
      </w:r>
      <w:r>
        <w:rPr>
          <w:sz w:val="20"/>
        </w:rPr>
        <w:t>Ex. 25</w:t>
      </w:r>
    </w:p>
  </w:footnote>
  <w:footnote w:id="93">
    <w:p>
      <w:pPr>
        <w:pStyle w:val="FootnoteText"/>
        <w:rPr/>
      </w:pPr>
      <w:r>
        <w:rPr>
          <w:rStyle w:val="FootnoteCharacters"/>
        </w:rPr>
        <w:footnoteRef/>
      </w:r>
      <w:r>
        <w:rPr/>
        <w:t xml:space="preserve"> </w:t>
      </w:r>
      <w:r>
        <w:rPr>
          <w:sz w:val="20"/>
        </w:rPr>
        <w:t>Yap, SCGC, Tr. Vol.  2, p. 147, line 1 - p. 149, line 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r>
      <w:rPr>
        <w:b/>
        <w:caps/>
        <w:u w:val="single"/>
      </w:rPr>
      <w:t>Table of Contents</w:t>
    </w:r>
  </w:p>
  <w:p>
    <w:pPr>
      <w:pStyle w:val="Normal"/>
      <w:tabs>
        <w:tab w:val="clear" w:pos="720"/>
        <w:tab w:val="center" w:pos="4680" w:leader="none"/>
        <w:tab w:val="right" w:pos="9360" w:leader="none"/>
      </w:tabs>
      <w:jc w:val="center"/>
      <w:rPr/>
    </w:pPr>
    <w:r>
      <w:rPr/>
      <w:t>(continued)</w:t>
    </w:r>
  </w:p>
  <w:p>
    <w:pPr>
      <w:pStyle w:val="Normal"/>
      <w:tabs>
        <w:tab w:val="clear" w:pos="720"/>
        <w:tab w:val="center" w:pos="4680" w:leader="none"/>
        <w:tab w:val="right" w:pos="9360" w:leader="none"/>
      </w:tabs>
      <w:spacing w:before="0" w:after="200"/>
      <w:jc w:val="end"/>
      <w:rPr>
        <w:u w:val="single"/>
      </w:rPr>
    </w:pPr>
    <w:r>
      <w:rPr>
        <w:u w:val="single"/>
      </w:rPr>
      <w:t>Page</w:t>
    </w:r>
  </w:p>
  <w:p>
    <w:pPr>
      <w:pStyle w:val="Header"/>
      <w:tabs>
        <w:tab w:val="clear" w:pos="4320"/>
        <w:tab w:val="center" w:pos="4680" w:leader="none"/>
        <w:tab w:val="right" w:pos="9360" w:leader="none"/>
      </w:tabs>
      <w:rPr>
        <w:u w:val="single"/>
      </w:rPr>
    </w:pPr>
    <w:r>
      <w:rPr>
        <w:u w:val="single"/>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r>
      <w:rPr>
        <w:b/>
        <w:caps/>
        <w:u w:val="single"/>
      </w:rPr>
      <w:t>Table of Contents</w:t>
    </w:r>
  </w:p>
  <w:p>
    <w:pPr>
      <w:pStyle w:val="Normal"/>
      <w:tabs>
        <w:tab w:val="clear" w:pos="720"/>
        <w:tab w:val="center" w:pos="4680" w:leader="none"/>
        <w:tab w:val="right" w:pos="9360" w:leader="none"/>
      </w:tabs>
      <w:jc w:val="center"/>
      <w:rPr>
        <w:u w:val="single"/>
      </w:rPr>
    </w:pPr>
    <w:r>
      <w:rPr>
        <w:u w:val="single"/>
      </w:rPr>
    </w:r>
  </w:p>
  <w:p>
    <w:pPr>
      <w:pStyle w:val="Normal"/>
      <w:tabs>
        <w:tab w:val="clear" w:pos="720"/>
        <w:tab w:val="center" w:pos="4680" w:leader="none"/>
        <w:tab w:val="right" w:pos="9360" w:leader="none"/>
      </w:tabs>
      <w:spacing w:before="0" w:after="200"/>
      <w:jc w:val="end"/>
      <w:rPr>
        <w:u w:val="single"/>
      </w:rPr>
    </w:pPr>
    <w:r>
      <w:rPr>
        <w:u w:val="single"/>
      </w:rPr>
      <w:t>Page</w:t>
    </w:r>
  </w:p>
  <w:p>
    <w:pPr>
      <w:pStyle w:val="Header"/>
      <w:tabs>
        <w:tab w:val="clear" w:pos="4320"/>
        <w:tab w:val="center" w:pos="4680" w:leader="none"/>
        <w:tab w:val="right" w:pos="936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bxMaxLevel" w:val="3"/>
    <w:docVar w:name="cbxMinLevel" w:val="1"/>
    <w:docVar w:name="cbxTOCScheme" w:val="0"/>
    <w:docVar w:name="chkApplyManualFormatsToTOC" w:val="0"/>
    <w:docVar w:name="chkApplyTOCScheme" w:val="1"/>
    <w:docVar w:name="chkCopyTitle" w:val="False"/>
    <w:docVar w:name="chkIncludeCoverPage" w:val="True"/>
    <w:docVar w:name="chkIncludeFirmAddress" w:val="True"/>
    <w:docVar w:name="chkStyles" w:val="1"/>
    <w:docVar w:name="chkTCEntries" w:val="1"/>
    <w:docVar w:name="cmbAttyName" w:val="2017"/>
    <w:docVar w:name="cmbAttysFor" w:val="Respondent"/>
    <w:docVar w:name="cmbAuthorLists" w:val="-100"/>
    <w:docVar w:name="cmbCAttysFor" w:val="Appellant"/>
    <w:docVar w:name="cmbCrossActions" w:val="none"/>
    <w:docVar w:name="cmbDated" w:val="3"/>
    <w:docVar w:name="cmbDPartyTitle" w:val="Respondent"/>
    <w:docVar w:name="cmbOptBodyTextAlignment" w:val="0"/>
    <w:docVar w:name="cmbOptDated" w:val="2"/>
    <w:docVar w:name="cmbOptFonts" w:val="Times New Roman"/>
    <w:docVar w:name="cmbOptOffices" w:val="1"/>
    <w:docVar w:name="cmbOptSigType" w:val="Respectfully Submitted"/>
    <w:docVar w:name="cmbPPartyTitle" w:val="Appellant"/>
    <w:docVar w:name="cmbPrefLists" w:val="-100"/>
    <w:docVar w:name="cmbSetAuthorPref" w:val="2017"/>
    <w:docVar w:name="iTrailerType" w:val="1"/>
    <w:docVar w:name="lstAttyList" w:val="2017"/>
    <w:docVar w:name="lstCourts" w:val="Public Utilities Commission"/>
    <w:docVar w:name="lstSigType" w:val="PUC Signature"/>
    <w:docVar w:name="optCreateFrom" w:val="0"/>
    <w:docVar w:name="OtherCaptionItems" w:val="†"/>
    <w:docVar w:name="packedarray" w:val="Michael B. Day†2017"/>
    <w:docVar w:name="Restarted" w:val="True"/>
    <w:docVar w:name="tglUseFirmDefaults" w:val="False"/>
    <w:docVar w:name="txtAppealedFrom" w:val="San Francisco"/>
    <w:docVar w:name="txtAppealFrom" w:val="the Superior Court&#10;of California, City and County of"/>
    <w:docVar w:name="txtAttyName" w:val="Michael B. Day"/>
    <w:docVar w:name="txtAttysFor" w:val="Respondent"/>
    <w:docVar w:name="txtCaseNo" w:val="2nd Civil No. "/>
    <w:docVar w:name="txtCAttysFor" w:val="Appellant"/>
    <w:docVar w:name="txtDPartyTitle" w:val="Respondent"/>
    <w:docVar w:name="txtOptFirstLine" w:val="1"/>
    <w:docVar w:name="txtOptFSize" w:val="12"/>
    <w:docVar w:name="txtOptLeftMargin" w:val="1.5"/>
    <w:docVar w:name="txtOptRightMargin" w:val="1.5"/>
    <w:docVar w:name="txtOriginalCaseNo" w:val="Civil Case No. "/>
    <w:docVar w:name="txtPPTitle" w:val="Appellant"/>
    <w:docVar w:name="zzmpFixed_MacPacVersion" w:val="97"/>
    <w:docVar w:name="zzmpFixed_PleadingPaperType" w:val="PPNone"/>
    <w:docVar w:name="zzmpFixedDOC_ID" w:val="2715/016/X1398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4z0">
    <w:name w:val="WW8Num4z0"/>
    <w:qFormat/>
    <w:rPr>
      <w:rFonts w:ascii="Wingdings" w:hAnsi="Wingdings" w:cs="Wingdings"/>
      <w:sz w:val="16"/>
    </w:rPr>
  </w:style>
  <w:style w:type="character" w:styleId="WW8Num5z0">
    <w:name w:val="WW8Num5z0"/>
    <w:qFormat/>
    <w:rPr>
      <w:rFonts w:ascii="Symbol" w:hAnsi="Symbol" w:cs="Symbol"/>
    </w:rPr>
  </w:style>
  <w:style w:type="character" w:styleId="WW8Num6z0">
    <w:name w:val="WW8Num6z0"/>
    <w:qFormat/>
    <w:rPr>
      <w:b/>
      <w:i w:val="false"/>
      <w:caps w:val="false"/>
      <w:smallCaps w:val="false"/>
      <w:strike w:val="false"/>
      <w:dstrike w:val="false"/>
      <w:shadow w:val="false"/>
      <w:vanish w:val="false"/>
      <w:color w:val="0000FF"/>
      <w:position w:val="0"/>
      <w:sz w:val="24"/>
      <w:u w:val="none"/>
      <w:vertAlign w:val="baseline"/>
    </w:rPr>
  </w:style>
  <w:style w:type="character" w:styleId="WW8Num6z2">
    <w:name w:val="WW8Num6z2"/>
    <w:qFormat/>
    <w:rPr>
      <w:b w:val="false"/>
      <w:i w:val="false"/>
      <w:caps w:val="false"/>
      <w:smallCaps w:val="false"/>
      <w:strike w:val="false"/>
      <w:dstrike w:val="false"/>
      <w:shadow w:val="false"/>
      <w:vanish w:val="false"/>
      <w:color w:val="0000FF"/>
      <w:position w:val="0"/>
      <w:sz w:val="24"/>
      <w:vertAlign w:val="baseline"/>
    </w:rPr>
  </w:style>
  <w:style w:type="character" w:styleId="WW8Num6z3">
    <w:name w:val="WW8Num6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6z4">
    <w:name w:val="WW8Num6z4"/>
    <w:qFormat/>
    <w:rPr>
      <w:caps w:val="false"/>
      <w:smallCaps w:val="false"/>
      <w:strike w:val="false"/>
      <w:dstrike w:val="false"/>
      <w:shadow w:val="false"/>
      <w:vanish w:val="false"/>
      <w:color w:val="0000FF"/>
      <w:position w:val="0"/>
      <w:sz w:val="24"/>
      <w:u w:val="none"/>
      <w:vertAlign w:val="baseline"/>
    </w:rPr>
  </w:style>
  <w:style w:type="character" w:styleId="WW8Num6z7">
    <w:name w:val="WW8Num6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7z0">
    <w:name w:val="WW8Num7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b/>
      <w:i w:val="false"/>
      <w:caps w:val="false"/>
      <w:smallCaps w:val="false"/>
      <w:strike w:val="false"/>
      <w:dstrike w:val="false"/>
      <w:shadow w:val="false"/>
      <w:vanish w:val="false"/>
      <w:color w:val="0000FF"/>
      <w:position w:val="0"/>
      <w:sz w:val="24"/>
      <w:u w:val="none"/>
      <w:vertAlign w:val="baseline"/>
    </w:rPr>
  </w:style>
  <w:style w:type="character" w:styleId="WW8Num10z2">
    <w:name w:val="WW8Num10z2"/>
    <w:qFormat/>
    <w:rPr>
      <w:b w:val="false"/>
      <w:i w:val="false"/>
      <w:caps w:val="false"/>
      <w:smallCaps w:val="false"/>
      <w:strike w:val="false"/>
      <w:dstrike w:val="false"/>
      <w:shadow w:val="false"/>
      <w:vanish w:val="false"/>
      <w:color w:val="0000FF"/>
      <w:position w:val="0"/>
      <w:sz w:val="24"/>
      <w:vertAlign w:val="baseline"/>
    </w:rPr>
  </w:style>
  <w:style w:type="character" w:styleId="WW8Num10z3">
    <w:name w:val="WW8Num10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0z4">
    <w:name w:val="WW8Num10z4"/>
    <w:qFormat/>
    <w:rPr>
      <w:caps w:val="false"/>
      <w:smallCaps w:val="false"/>
      <w:strike w:val="false"/>
      <w:dstrike w:val="false"/>
      <w:shadow w:val="false"/>
      <w:vanish w:val="false"/>
      <w:color w:val="0000FF"/>
      <w:position w:val="0"/>
      <w:sz w:val="24"/>
      <w:u w:val="none"/>
      <w:vertAlign w:val="baseline"/>
    </w:rPr>
  </w:style>
  <w:style w:type="character" w:styleId="WW8Num10z7">
    <w:name w:val="WW8Num10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Header">
    <w:name w:val="header"/>
    <w:basedOn w:val="Normal"/>
    <w:pPr>
      <w:tabs>
        <w:tab w:val="clear" w:pos="720"/>
        <w:tab w:val="center" w:pos="4320" w:leader="none"/>
        <w:tab w:val="right" w:pos="9360" w:leader="none"/>
      </w:tabs>
    </w:pPr>
    <w:rPr/>
  </w:style>
  <w:style w:type="paragraph" w:styleId="Quote">
    <w:name w:val="Quote"/>
    <w:basedOn w:val="Normal"/>
    <w:next w:val="BodyTextContinued"/>
    <w:qFormat/>
    <w:pPr>
      <w:widowControl/>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FootnoteText">
    <w:name w:val="footnote text"/>
    <w:basedOn w:val="Normal"/>
    <w:pPr>
      <w:keepLine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3744" w:end="0"/>
    </w:pPr>
    <w:rPr/>
  </w:style>
  <w:style w:type="paragraph" w:styleId="TableofAuthorities">
    <w:name w:val="Table of Authorities"/>
    <w:basedOn w:val="Normal"/>
    <w:next w:val="Normal"/>
    <w:qFormat/>
    <w:pPr>
      <w:tabs>
        <w:tab w:val="clear" w:pos="720"/>
        <w:tab w:val="right" w:pos="9280"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280" w:leader="dot"/>
      </w:tabs>
      <w:ind w:hanging="720" w:start="720" w:end="720"/>
    </w:pPr>
    <w:rPr>
      <w:caps/>
    </w:rPr>
  </w:style>
  <w:style w:type="paragraph" w:styleId="TOC2">
    <w:name w:val="toc 2"/>
    <w:basedOn w:val="Normal"/>
    <w:next w:val="Normal"/>
    <w:pPr>
      <w:keepLines/>
      <w:widowControl/>
      <w:tabs>
        <w:tab w:val="clear" w:pos="720"/>
        <w:tab w:val="right" w:pos="9280" w:leader="dot"/>
      </w:tabs>
      <w:ind w:hanging="720" w:start="1440" w:end="720"/>
    </w:pPr>
    <w:rPr>
      <w:caps/>
    </w:rPr>
  </w:style>
  <w:style w:type="paragraph" w:styleId="TOC3">
    <w:name w:val="toc 3"/>
    <w:basedOn w:val="Normal"/>
    <w:next w:val="Normal"/>
    <w:pPr>
      <w:keepLines/>
      <w:widowControl/>
      <w:tabs>
        <w:tab w:val="clear" w:pos="720"/>
        <w:tab w:val="right" w:pos="9280" w:leader="dot"/>
      </w:tabs>
      <w:ind w:hanging="720" w:start="2160" w:end="720"/>
    </w:pPr>
    <w:rPr>
      <w:caps/>
    </w:rPr>
  </w:style>
  <w:style w:type="paragraph" w:styleId="TOC4">
    <w:name w:val="toc 4"/>
    <w:basedOn w:val="Normal"/>
    <w:next w:val="Normal"/>
    <w:pPr>
      <w:keepLines/>
      <w:widowControl/>
      <w:tabs>
        <w:tab w:val="clear" w:pos="720"/>
        <w:tab w:val="right" w:pos="9280" w:leader="dot"/>
      </w:tabs>
      <w:ind w:hanging="720" w:start="2880" w:end="720"/>
    </w:pPr>
    <w:rPr>
      <w:caps/>
    </w:rPr>
  </w:style>
  <w:style w:type="paragraph" w:styleId="TOC5">
    <w:name w:val="toc 5"/>
    <w:basedOn w:val="Normal"/>
    <w:next w:val="Normal"/>
    <w:pPr>
      <w:keepLines/>
      <w:widowControl/>
      <w:tabs>
        <w:tab w:val="clear" w:pos="720"/>
        <w:tab w:val="right" w:pos="9280" w:leader="dot"/>
      </w:tabs>
      <w:ind w:hanging="720" w:start="3600" w:end="720"/>
    </w:pPr>
    <w:rPr>
      <w:caps/>
    </w:rPr>
  </w:style>
  <w:style w:type="paragraph" w:styleId="TOC6">
    <w:name w:val="toc 6"/>
    <w:basedOn w:val="Normal"/>
    <w:next w:val="Normal"/>
    <w:pPr>
      <w:keepLines/>
      <w:widowControl/>
      <w:tabs>
        <w:tab w:val="clear" w:pos="720"/>
        <w:tab w:val="right" w:pos="9280" w:leader="dot"/>
      </w:tabs>
      <w:ind w:hanging="720" w:start="4320" w:end="720"/>
    </w:pPr>
    <w:rPr>
      <w:caps/>
    </w:rPr>
  </w:style>
  <w:style w:type="paragraph" w:styleId="TOC7">
    <w:name w:val="toc 7"/>
    <w:basedOn w:val="Normal"/>
    <w:next w:val="Normal"/>
    <w:pPr>
      <w:keepLines/>
      <w:widowControl/>
      <w:tabs>
        <w:tab w:val="clear" w:pos="720"/>
        <w:tab w:val="right" w:pos="9280" w:leader="dot"/>
      </w:tabs>
      <w:ind w:hanging="720" w:start="5040" w:end="720"/>
    </w:pPr>
    <w:rPr>
      <w:caps/>
    </w:rPr>
  </w:style>
  <w:style w:type="paragraph" w:styleId="TOC8">
    <w:name w:val="toc 8"/>
    <w:basedOn w:val="Normal"/>
    <w:next w:val="Normal"/>
    <w:pPr>
      <w:keepLines/>
      <w:widowControl/>
      <w:tabs>
        <w:tab w:val="clear" w:pos="720"/>
        <w:tab w:val="right" w:pos="9280" w:leader="dot"/>
      </w:tabs>
      <w:ind w:hanging="720" w:start="5760" w:end="720"/>
    </w:pPr>
    <w:rPr>
      <w:caps/>
    </w:rPr>
  </w:style>
  <w:style w:type="paragraph" w:styleId="TOC9">
    <w:name w:val="toc 9"/>
    <w:basedOn w:val="Normal"/>
    <w:next w:val="Normal"/>
    <w:pPr>
      <w:keepLines/>
      <w:widowControl/>
      <w:tabs>
        <w:tab w:val="clear" w:pos="720"/>
        <w:tab w:val="right" w:pos="9280" w:leader="dot"/>
      </w:tabs>
      <w:ind w:hanging="720" w:start="6480" w:end="720"/>
    </w:pPr>
    <w:rPr>
      <w:caps/>
    </w:rPr>
  </w:style>
  <w:style w:type="paragraph" w:styleId="CoverPage">
    <w:name w:val="CoverPage"/>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day@gmssr.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PUC-Appellate.dot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2000-07-10T20:40:00Z</dcterms:created>
  <dc:creator>Michael B. Day</dc:creator>
  <dc:description/>
  <dc:language>en-CA</dc:language>
  <cp:lastModifiedBy>Delores Sandefur</cp:lastModifiedBy>
  <cp:lastPrinted>2000-07-10T16:08:00Z</cp:lastPrinted>
  <dcterms:modified xsi:type="dcterms:W3CDTF">2000-07-10T20:40:00Z</dcterms:modified>
  <cp:revision>2</cp:revision>
  <dc:subject/>
  <dc:title/>
</cp:coreProperties>
</file>