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jc w:val="center"/>
        <w:rPr/>
      </w:pPr>
      <w:r>
        <w:rPr/>
        <w:t>Open Enron California Regulatory Matters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Goodin, MacBride, Squeri, Ritchie &amp; Day, LLP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September 28, 1999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Matter No. </w:t>
        <w:tab/>
        <w:tab/>
        <w:tab/>
        <w:tab/>
        <w:tab/>
        <w:t>Case</w:t>
      </w:r>
    </w:p>
    <w:p>
      <w:pPr>
        <w:pStyle w:val="Normal"/>
        <w:rPr/>
      </w:pPr>
      <w:r>
        <w:rPr/>
      </w:r>
    </w:p>
    <w:tbl>
      <w:tblPr>
        <w:tblW w:w="9150" w:type="dxa"/>
        <w:jc w:val="start"/>
        <w:tblInd w:w="-22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30"/>
        <w:gridCol w:w="7020"/>
      </w:tblGrid>
      <w:tr>
        <w:trPr>
          <w:trHeight w:val="555" w:hRule="atLeast"/>
        </w:trPr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2704-003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California Legislative Matters</w:t>
            </w:r>
          </w:p>
        </w:tc>
      </w:tr>
      <w:tr>
        <w:trPr>
          <w:trHeight w:val="630" w:hRule="atLeast"/>
        </w:trPr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2704-005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Electric Restructuring Implementation, R.94-04-031, I. 04-04-032</w:t>
            </w:r>
          </w:p>
        </w:tc>
      </w:tr>
      <w:tr>
        <w:trPr>
          <w:trHeight w:val="615" w:hRule="atLeast"/>
        </w:trPr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2704-006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Natural Gas Restructuring,  I.99-07-003</w:t>
            </w:r>
          </w:p>
        </w:tc>
      </w:tr>
      <w:tr>
        <w:trPr>
          <w:trHeight w:val="615" w:hRule="atLeast"/>
        </w:trPr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2704-010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CPUC Lobbying</w:t>
            </w:r>
          </w:p>
        </w:tc>
      </w:tr>
      <w:tr>
        <w:trPr>
          <w:trHeight w:val="555" w:hRule="atLeast"/>
        </w:trPr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2704-013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Advice Letter Filings</w:t>
            </w:r>
          </w:p>
        </w:tc>
      </w:tr>
      <w:tr>
        <w:trPr>
          <w:trHeight w:val="615" w:hRule="atLeast"/>
        </w:trPr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2704-014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Affiliate Transactions Rulemaking, R.97-04-011, R.98-04-009</w:t>
            </w:r>
          </w:p>
        </w:tc>
      </w:tr>
      <w:tr>
        <w:trPr>
          <w:trHeight w:val="630" w:hRule="atLeast"/>
        </w:trPr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48" w:end="0"/>
              <w:rPr/>
            </w:pPr>
            <w:r>
              <w:rPr/>
              <w:t>2704-041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PG&amp;E General Rate Case, Phase I, A.97-12-020</w:t>
            </w:r>
          </w:p>
        </w:tc>
      </w:tr>
      <w:tr>
        <w:trPr>
          <w:trHeight w:val="555" w:hRule="atLeast"/>
        </w:trPr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2704-094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SoCalGas unbundling interstate capacity, A.97-12-048</w:t>
            </w:r>
          </w:p>
        </w:tc>
      </w:tr>
      <w:tr>
        <w:trPr>
          <w:trHeight w:val="630" w:hRule="atLeast"/>
        </w:trPr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2704-097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Section 376 Direct Access Implementation Costs, A.98—05-004, et. al.</w:t>
            </w:r>
          </w:p>
        </w:tc>
      </w:tr>
      <w:tr>
        <w:trPr>
          <w:trHeight w:val="645" w:hRule="atLeast"/>
        </w:trPr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2704-098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Retained Asset Valuation, A.98-05-014, et. al.</w:t>
            </w:r>
          </w:p>
        </w:tc>
      </w:tr>
      <w:tr>
        <w:trPr>
          <w:trHeight w:val="660" w:hRule="atLeast"/>
        </w:trPr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2704-101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1998 Revenue Adjustment Proceeding, A.98-07-003/006/026</w:t>
            </w:r>
          </w:p>
        </w:tc>
      </w:tr>
      <w:tr>
        <w:trPr>
          <w:trHeight w:val="585" w:hRule="atLeast"/>
        </w:trPr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2704-102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1998 Annual Transition Cost Proceeding, A.98-09-003/008/009</w:t>
            </w:r>
          </w:p>
        </w:tc>
      </w:tr>
      <w:tr>
        <w:trPr>
          <w:trHeight w:val="600" w:hRule="atLeast"/>
        </w:trPr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2704-105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Sempra Energy Marketplace</w:t>
            </w:r>
          </w:p>
        </w:tc>
      </w:tr>
      <w:tr>
        <w:trPr>
          <w:trHeight w:val="540" w:hRule="atLeast"/>
        </w:trPr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2704-109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PG&amp;E Performance Based Ratemaking, A.98-11-023</w:t>
            </w:r>
          </w:p>
        </w:tc>
      </w:tr>
      <w:tr>
        <w:trPr>
          <w:trHeight w:val="638" w:hRule="atLeast"/>
        </w:trPr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2704-110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Distribution Competition Rulemaking, R.98-12-015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 xml:space="preserve">Matter No. </w:t>
        <w:tab/>
        <w:tab/>
        <w:tab/>
        <w:tab/>
        <w:tab/>
        <w:t>Case</w:t>
      </w:r>
    </w:p>
    <w:p>
      <w:pPr>
        <w:pStyle w:val="Normal"/>
        <w:rPr/>
      </w:pPr>
      <w:r>
        <w:rPr/>
      </w:r>
    </w:p>
    <w:tbl>
      <w:tblPr>
        <w:tblW w:w="10769" w:type="dxa"/>
        <w:jc w:val="start"/>
        <w:tblInd w:w="-22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5"/>
        <w:gridCol w:w="1725"/>
        <w:gridCol w:w="7020"/>
        <w:gridCol w:w="1619"/>
      </w:tblGrid>
      <w:tr>
        <w:trPr>
          <w:trHeight w:val="555" w:hRule="atLeast"/>
        </w:trPr>
        <w:tc>
          <w:tcPr>
            <w:tcW w:w="21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2704-114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PG&amp;E General Rate Case, Phase II, A.99-03-014</w:t>
            </w:r>
          </w:p>
        </w:tc>
        <w:tc>
          <w:tcPr>
            <w:tcW w:w="161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21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2704-118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Post-Transition Ratemaking (SDG&amp;E primary at substation rate design proposal)</w:t>
            </w:r>
          </w:p>
        </w:tc>
        <w:tc>
          <w:tcPr>
            <w:tcW w:w="161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21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2704-119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SCE Call Center Access, A.99-04-045</w:t>
            </w:r>
          </w:p>
        </w:tc>
        <w:tc>
          <w:tcPr>
            <w:tcW w:w="161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21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2704-121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Federal Procurement Projects</w:t>
            </w:r>
          </w:p>
        </w:tc>
        <w:tc>
          <w:tcPr>
            <w:tcW w:w="161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21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2704-122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Post Transition Ratemaking Case (Client: ARM), A.99-03-062</w:t>
            </w:r>
          </w:p>
        </w:tc>
        <w:tc>
          <w:tcPr>
            <w:tcW w:w="161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21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2704-126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Revenue Cycle Services Phase II/Direct Access Service Fee Cases (Client: ARM), A.99-06-033</w:t>
            </w:r>
          </w:p>
        </w:tc>
        <w:tc>
          <w:tcPr>
            <w:tcW w:w="161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21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48" w:end="0"/>
              <w:rPr/>
            </w:pPr>
            <w:r>
              <w:rPr/>
              <w:t>2704-130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1999 Annual Transition Cost Proceeding, A.99-09-006/011/013</w:t>
            </w:r>
          </w:p>
        </w:tc>
        <w:tc>
          <w:tcPr>
            <w:tcW w:w="161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1280" w:hRule="atLeast"/>
        </w:trPr>
        <w:tc>
          <w:tcPr>
            <w:tcW w:w="405" w:type="dxa"/>
            <w:tcBorders/>
            <w:tcMar>
              <w:start w:w="0" w:type="dxa"/>
              <w:end w:w="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364" w:type="dxa"/>
            <w:gridSpan w:val="3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{2704/002/X04811.DOC}</w:t>
    </w:r>
    <w:r>
      <w:rPr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1999-09-27T20:58:00Z</dcterms:created>
  <dc:creator>Preferred Customer</dc:creator>
  <dc:description/>
  <dc:language>en-CA</dc:language>
  <cp:lastModifiedBy>Preferred Customer</cp:lastModifiedBy>
  <cp:lastPrinted>1999-09-27T14:41:00Z</cp:lastPrinted>
  <dcterms:modified xsi:type="dcterms:W3CDTF">1999-09-27T20:58:00Z</dcterms:modified>
  <cp:revision>2</cp:revision>
  <dc:subject>2704/002/X04811.DOC</dc:subject>
  <dc:title>Open Enron California Regulatory Matters</dc:title>
</cp:coreProperties>
</file>