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shadow="1"/>
          <w:left w:val="single" w:sz="4" w:space="4" w:color="000000" w:shadow="1"/>
          <w:bottom w:val="single" w:sz="4" w:space="5" w:color="000000" w:shadow="1"/>
          <w:right w:val="single" w:sz="4" w:space="4" w:color="000000" w:shadow="1"/>
        </w:pBdr>
        <w:shd w:fill="BFBFBF" w:val="clear"/>
        <w:jc w:val="center"/>
        <w:rPr>
          <w:b/>
          <w:sz w:val="24"/>
        </w:rPr>
      </w:pPr>
      <w:r>
        <w:rPr>
          <w:b/>
          <w:sz w:val="24"/>
        </w:rPr>
        <w:t>ENRON POWER MARKETING, INC.</w:t>
      </w:r>
    </w:p>
    <w:p>
      <w:pPr>
        <w:pStyle w:val="Heading3"/>
        <w:pBdr>
          <w:top w:val="single" w:sz="4" w:space="1" w:color="000000" w:shadow="1"/>
          <w:left w:val="single" w:sz="4" w:space="4" w:color="000000" w:shadow="1"/>
          <w:bottom w:val="single" w:sz="4" w:space="5" w:color="000000" w:shadow="1"/>
          <w:right w:val="single" w:sz="4" w:space="4" w:color="000000" w:shadow="1"/>
        </w:pBdr>
        <w:shd w:fill="BFBFBF" w:val="clear"/>
        <w:ind w:hanging="0" w:start="0"/>
        <w:rPr>
          <w:b w:val="false"/>
          <w:sz w:val="22"/>
        </w:rPr>
      </w:pPr>
      <w:r>
        <w:rPr>
          <w:b w:val="false"/>
          <w:sz w:val="22"/>
        </w:rPr>
        <w:t>PROPOSAL TO</w:t>
      </w:r>
    </w:p>
    <w:p>
      <w:pPr>
        <w:pStyle w:val="Heading3"/>
        <w:pBdr>
          <w:top w:val="single" w:sz="4" w:space="1" w:color="000000" w:shadow="1"/>
          <w:left w:val="single" w:sz="4" w:space="4" w:color="000000" w:shadow="1"/>
          <w:bottom w:val="single" w:sz="4" w:space="5" w:color="000000" w:shadow="1"/>
          <w:right w:val="single" w:sz="4" w:space="4" w:color="000000" w:shadow="1"/>
        </w:pBdr>
        <w:shd w:fill="BFBFBF" w:val="clear"/>
        <w:ind w:hanging="0" w:start="0"/>
        <w:rPr>
          <w:b w:val="false"/>
          <w:sz w:val="22"/>
        </w:rPr>
      </w:pPr>
      <w:r>
        <w:rPr>
          <w:b w:val="false"/>
          <w:sz w:val="22"/>
        </w:rPr>
        <w:t>FLORIDA POWER &amp; LIGHT</w:t>
      </w:r>
    </w:p>
    <w:p>
      <w:pPr>
        <w:pStyle w:val="Header"/>
        <w:tabs>
          <w:tab w:val="clear" w:pos="4320"/>
          <w:tab w:val="clear" w:pos="8640"/>
        </w:tabs>
        <w:rPr>
          <w:b/>
          <w:sz w:val="22"/>
        </w:rPr>
      </w:pPr>
      <w:r>
        <w:rPr>
          <w:b/>
          <w:sz w:val="22"/>
        </w:rPr>
      </w:r>
    </w:p>
    <w:p>
      <w:pPr>
        <w:pStyle w:val="Heading2"/>
        <w:ind w:hanging="0" w:start="0"/>
        <w:jc w:val="both"/>
        <w:rPr/>
      </w:pPr>
      <w:r>
        <w:rPr/>
        <w:t>BUYER</w:t>
      </w:r>
    </w:p>
    <w:p>
      <w:pPr>
        <w:pStyle w:val="Header"/>
        <w:tabs>
          <w:tab w:val="clear" w:pos="4320"/>
          <w:tab w:val="clear" w:pos="8640"/>
        </w:tabs>
        <w:jc w:val="both"/>
        <w:rPr/>
      </w:pPr>
      <w:r>
        <w:rPr/>
        <w:t>Enron Power Marketing, Inc. (“EPMI”)</w:t>
      </w:r>
    </w:p>
    <w:p>
      <w:pPr>
        <w:pStyle w:val="Normal"/>
        <w:jc w:val="both"/>
        <w:rPr/>
      </w:pPr>
      <w:r>
        <w:rPr/>
      </w:r>
    </w:p>
    <w:p>
      <w:pPr>
        <w:pStyle w:val="Heading2"/>
        <w:ind w:hanging="0" w:start="0"/>
        <w:jc w:val="both"/>
        <w:rPr/>
      </w:pPr>
      <w:r>
        <w:rPr/>
        <w:t>SELLER</w:t>
      </w:r>
    </w:p>
    <w:p>
      <w:pPr>
        <w:pStyle w:val="Normal"/>
        <w:jc w:val="both"/>
        <w:rPr/>
      </w:pPr>
      <w:r>
        <w:rPr/>
        <w:t>Florida Power &amp; Light (“FPL”)</w:t>
      </w:r>
    </w:p>
    <w:p>
      <w:pPr>
        <w:pStyle w:val="Normal"/>
        <w:jc w:val="both"/>
        <w:rPr/>
      </w:pPr>
      <w:r>
        <w:rPr/>
      </w:r>
    </w:p>
    <w:p>
      <w:pPr>
        <w:pStyle w:val="Heading2"/>
        <w:ind w:hanging="0" w:start="0"/>
        <w:jc w:val="both"/>
        <w:rPr/>
      </w:pPr>
      <w:r>
        <w:rPr/>
        <w:t>TERM</w:t>
      </w:r>
    </w:p>
    <w:p>
      <w:pPr>
        <w:pStyle w:val="Normal"/>
        <w:jc w:val="both"/>
        <w:rPr/>
      </w:pPr>
      <w:r>
        <w:rPr/>
        <w:t>1/1/01-12/31/01</w:t>
      </w:r>
    </w:p>
    <w:p>
      <w:pPr>
        <w:pStyle w:val="Normal"/>
        <w:jc w:val="both"/>
        <w:rPr/>
      </w:pPr>
      <w:r>
        <w:rPr/>
      </w:r>
    </w:p>
    <w:p>
      <w:pPr>
        <w:pStyle w:val="Heading2"/>
        <w:ind w:hanging="0" w:start="0"/>
        <w:jc w:val="both"/>
        <w:rPr/>
      </w:pPr>
      <w:r>
        <w:rPr/>
        <w:t xml:space="preserve">STRUCTURE </w:t>
      </w:r>
    </w:p>
    <w:p>
      <w:pPr>
        <w:pStyle w:val="Normal"/>
        <w:jc w:val="both"/>
        <w:rPr/>
      </w:pPr>
      <w:r>
        <w:rPr/>
        <w:t>Buyer will purchase a financial daily call spread option between residual oil and electrical energy (“Energy”) from Seller for the proposed Term.  For each weekday excluding NERC holidays, Buyer will have the right, but not the obligation, to purchase Energy from Seller at the Energy Purchase Price, as defined herein, for the hours ending 0800 EPT through 2300 EPT inclusive.  In order to exercise this option for a given day, Buyer must notify Seller of its election by 1100 EPT on the immediately preceding weekday (not including NERC holidays).</w:t>
      </w:r>
    </w:p>
    <w:p>
      <w:pPr>
        <w:pStyle w:val="Normal"/>
        <w:jc w:val="both"/>
        <w:rPr/>
      </w:pPr>
      <w:r>
        <w:rPr/>
      </w:r>
    </w:p>
    <w:p>
      <w:pPr>
        <w:pStyle w:val="Heading2"/>
        <w:ind w:hanging="0" w:start="0"/>
        <w:jc w:val="both"/>
        <w:rPr/>
      </w:pPr>
      <w:r>
        <w:rPr/>
        <w:t>CONTRACT QUANTITY</w:t>
      </w:r>
    </w:p>
    <w:p>
      <w:pPr>
        <w:pStyle w:val="Heading2"/>
        <w:ind w:hanging="0" w:start="0"/>
        <w:jc w:val="both"/>
        <w:rPr>
          <w:b w:val="false"/>
          <w:u w:val="none"/>
        </w:rPr>
      </w:pPr>
      <w:r>
        <w:rPr>
          <w:b w:val="false"/>
          <w:u w:val="none"/>
        </w:rPr>
        <w:t>The Contract Quantity will be 100 MWh/h.  For days which Buyer has elected to exercise its option, Seller shall be required to sell Energy in the amount of the Contract Quantity for the hours ending 0800 EPT through 2300 EPT inclusive for such day.</w:t>
      </w:r>
    </w:p>
    <w:p>
      <w:pPr>
        <w:pStyle w:val="Heading2"/>
        <w:ind w:hanging="0" w:start="0"/>
        <w:jc w:val="both"/>
        <w:rPr>
          <w:b w:val="false"/>
          <w:u w:val="none"/>
        </w:rPr>
      </w:pPr>
      <w:r>
        <w:rPr>
          <w:b w:val="false"/>
          <w:u w:val="none"/>
        </w:rPr>
      </w:r>
    </w:p>
    <w:p>
      <w:pPr>
        <w:pStyle w:val="Heading2"/>
        <w:ind w:hanging="0" w:start="0"/>
        <w:jc w:val="both"/>
        <w:rPr/>
      </w:pPr>
      <w:r>
        <w:rPr/>
        <w:t>OPTION PREMIUM</w:t>
      </w:r>
    </w:p>
    <w:p>
      <w:pPr>
        <w:pStyle w:val="Normal"/>
        <w:jc w:val="both"/>
        <w:rPr/>
      </w:pPr>
      <w:r>
        <w:rPr/>
        <w:t>Buyer will pay Seller a monthly option premium of $____/kW-mo., based on the Contract Quantity.  For each month, Buyer would pay this premium no later than 2 workdays prior to the start of such month.</w:t>
      </w:r>
    </w:p>
    <w:p>
      <w:pPr>
        <w:pStyle w:val="Normal"/>
        <w:jc w:val="both"/>
        <w:rPr/>
      </w:pPr>
      <w:r>
        <w:rPr/>
      </w:r>
    </w:p>
    <w:p>
      <w:pPr>
        <w:pStyle w:val="Heading4"/>
        <w:ind w:hanging="0" w:start="0"/>
        <w:rPr/>
      </w:pPr>
      <w:r>
        <w:rPr/>
        <w:t>TRANSACTION SETTLEMENTS</w:t>
      </w:r>
    </w:p>
    <w:p>
      <w:pPr>
        <w:pStyle w:val="Normal"/>
        <w:jc w:val="both"/>
        <w:rPr/>
      </w:pPr>
      <w:r>
        <w:rPr/>
        <w:t>For each day Buyer elects to purchase Energy, a Daily Settlement Payment will be calculated as follows:</w:t>
      </w:r>
    </w:p>
    <w:p>
      <w:pPr>
        <w:pStyle w:val="Normal"/>
        <w:jc w:val="both"/>
        <w:rPr/>
      </w:pPr>
      <w:r>
        <w:rPr/>
      </w:r>
    </w:p>
    <w:p>
      <w:pPr>
        <w:pStyle w:val="Normal"/>
        <w:ind w:hanging="2160" w:start="2880" w:end="0"/>
        <w:jc w:val="both"/>
        <w:rPr/>
      </w:pPr>
      <w:r>
        <w:rPr/>
        <w:t>Daily Settlement Payment = (On-Peak NEPOOL Energy Clearing Price – Energy Purchase Price) X 100 MWh/h]</w:t>
      </w:r>
    </w:p>
    <w:p>
      <w:pPr>
        <w:pStyle w:val="Normal"/>
        <w:ind w:hanging="2160" w:start="2880" w:end="0"/>
        <w:jc w:val="both"/>
        <w:rPr/>
      </w:pPr>
      <w:r>
        <w:rPr/>
      </w:r>
    </w:p>
    <w:p>
      <w:pPr>
        <w:pStyle w:val="Normal"/>
        <w:ind w:hanging="720" w:start="1440" w:end="0"/>
        <w:jc w:val="both"/>
        <w:rPr/>
      </w:pPr>
      <w:r>
        <w:rPr/>
        <w:t xml:space="preserve">Where: </w:t>
        <w:tab/>
        <w:t>On-Peak NEPOOL Energy Clearing Price is defined as the average of the hourly NEPOOL Energy Clearing Prices for the hour ending 0800 EPT through hour ending 2300 EPT inclusive for such day.</w:t>
      </w:r>
    </w:p>
    <w:p>
      <w:pPr>
        <w:pStyle w:val="Normal"/>
        <w:jc w:val="both"/>
        <w:rPr/>
      </w:pPr>
      <w:r>
        <w:rPr/>
      </w:r>
    </w:p>
    <w:p>
      <w:pPr>
        <w:pStyle w:val="Normal"/>
        <w:jc w:val="both"/>
        <w:rPr/>
      </w:pPr>
      <w:r>
        <w:rPr/>
        <w:t>At the end of each month, a summation of the Daily Settlement Payments shall be made to determine the Monthly Settlement Payment for such month.  If such Monthly Settlement Payment is a positive value, Seller will pay this amount to Buyer; otherwise, Buyer will pay this amount to Seller.  Payments under this settlement mechanism will be made on or before a mutually agreed upon number of days following the end of a month.</w:t>
      </w:r>
    </w:p>
    <w:p>
      <w:pPr>
        <w:pStyle w:val="Normal"/>
        <w:ind w:start="720" w:end="0"/>
        <w:jc w:val="both"/>
        <w:rPr/>
      </w:pPr>
      <w:r>
        <w:rPr/>
      </w:r>
    </w:p>
    <w:p>
      <w:pPr>
        <w:pStyle w:val="Normal"/>
        <w:jc w:val="both"/>
        <w:rPr/>
      </w:pPr>
      <w:r>
        <w:rPr/>
        <w:t>For purposes of the above settlement provisions, the deemed Energy Purchase Price for each day is defined by the following equation:</w:t>
      </w:r>
    </w:p>
    <w:p>
      <w:pPr>
        <w:pStyle w:val="Normal"/>
        <w:jc w:val="both"/>
        <w:rPr/>
      </w:pPr>
      <w:r>
        <w:rPr/>
      </w:r>
    </w:p>
    <w:p>
      <w:pPr>
        <w:pStyle w:val="BodyTextIndent2"/>
        <w:ind w:hanging="1980" w:start="2700" w:end="0"/>
        <w:rPr/>
      </w:pPr>
      <w:r>
        <w:rPr/>
        <w:t>Energy Purchase Price = (Fuel Index/6.3 + Transportation Cost) * Guaranteed Heat Rate + Variable O&amp;M Charge</w:t>
      </w:r>
    </w:p>
    <w:p>
      <w:pPr>
        <w:pStyle w:val="Normal"/>
        <w:ind w:hanging="1440" w:start="1440" w:end="0"/>
        <w:jc w:val="both"/>
        <w:rPr/>
      </w:pPr>
      <w:r>
        <w:rPr/>
      </w:r>
    </w:p>
    <w:p>
      <w:pPr>
        <w:pStyle w:val="Normal"/>
        <w:ind w:hanging="720" w:start="1440" w:end="0"/>
        <w:jc w:val="both"/>
        <w:rPr/>
      </w:pPr>
      <w:r>
        <w:rPr/>
        <w:t>Where:</w:t>
        <w:tab/>
        <w:t>Fuel Index = Platts Daily New York Harbor Cargo Mean for 1% Sulfur Residual Oil</w:t>
      </w:r>
    </w:p>
    <w:p>
      <w:pPr>
        <w:pStyle w:val="Normal"/>
        <w:ind w:hanging="1440" w:start="1440" w:end="0"/>
        <w:jc w:val="both"/>
        <w:rPr/>
      </w:pPr>
      <w:r>
        <w:rPr/>
        <w:tab/>
        <w:t>Transportation Cost = $0.25/mmBtu</w:t>
      </w:r>
    </w:p>
    <w:p>
      <w:pPr>
        <w:pStyle w:val="Normal"/>
        <w:ind w:firstLine="720" w:end="0"/>
        <w:jc w:val="both"/>
        <w:rPr/>
      </w:pPr>
      <w:r>
        <w:rPr/>
        <w:tab/>
        <w:t>Guaranteed Heat Rate = 10,000 mmBtu/GWh</w:t>
      </w:r>
    </w:p>
    <w:p>
      <w:pPr>
        <w:pStyle w:val="Normal"/>
        <w:ind w:firstLine="720" w:end="0"/>
        <w:jc w:val="both"/>
        <w:rPr/>
      </w:pPr>
      <w:r>
        <w:rPr/>
        <w:tab/>
        <w:t>Variable O&amp;M Charge = $1.50/MWh</w:t>
      </w:r>
    </w:p>
    <w:p>
      <w:pPr>
        <w:pStyle w:val="Normal"/>
        <w:ind w:firstLine="720" w:end="0"/>
        <w:jc w:val="both"/>
        <w:rPr/>
      </w:pPr>
      <w:r>
        <w:rPr/>
      </w:r>
    </w:p>
    <w:p>
      <w:pPr>
        <w:pStyle w:val="Heading2"/>
        <w:ind w:hanging="0" w:start="0"/>
        <w:jc w:val="both"/>
        <w:rPr/>
      </w:pPr>
      <w:r>
        <w:rPr/>
        <w:t>DELIVERY POINT</w:t>
      </w:r>
    </w:p>
    <w:p>
      <w:pPr>
        <w:pStyle w:val="Header"/>
        <w:tabs>
          <w:tab w:val="clear" w:pos="4320"/>
          <w:tab w:val="clear" w:pos="8640"/>
        </w:tabs>
        <w:jc w:val="both"/>
        <w:rPr/>
      </w:pPr>
      <w:r>
        <w:rPr/>
        <w:t>The deemed delivery point for deemed Energy purchases under this transaction will be the NEPOOL Pool Transmission Facilities (“PTF”).  Seller will be responsible for any delivery or related costs incurred in delivering Energy to the PTF.</w:t>
      </w:r>
    </w:p>
    <w:p>
      <w:pPr>
        <w:pStyle w:val="Header"/>
        <w:tabs>
          <w:tab w:val="clear" w:pos="4320"/>
          <w:tab w:val="clear" w:pos="8640"/>
        </w:tabs>
        <w:jc w:val="both"/>
        <w:rPr/>
      </w:pPr>
      <w:r>
        <w:rPr/>
      </w:r>
    </w:p>
    <w:p>
      <w:pPr>
        <w:pStyle w:val="Header"/>
        <w:tabs>
          <w:tab w:val="clear" w:pos="4320"/>
          <w:tab w:val="clear" w:pos="8640"/>
        </w:tabs>
        <w:jc w:val="both"/>
        <w:rPr>
          <w:b/>
          <w:u w:val="single"/>
        </w:rPr>
      </w:pPr>
      <w:r>
        <w:rPr>
          <w:b/>
          <w:u w:val="single"/>
        </w:rPr>
        <w:t>CONDITIONS</w:t>
      </w:r>
    </w:p>
    <w:p>
      <w:pPr>
        <w:pStyle w:val="Header"/>
        <w:tabs>
          <w:tab w:val="clear" w:pos="4320"/>
          <w:tab w:val="clear" w:pos="8640"/>
        </w:tabs>
        <w:jc w:val="both"/>
        <w:rPr/>
      </w:pPr>
      <w:r>
        <w:rPr/>
        <w:t>Sale of Energy under this transaction shall be made on a firm, liquidated-damages basis.  Seller shall not be relieved of its obligations based on the operating status of any of its power generating facilities or the availability of fuel to any such power generating facilities.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i/>
        <w:i/>
        <w:sz w:val="18"/>
      </w:rPr>
    </w:pPr>
    <w:r>
      <w:rPr>
        <w:i/>
        <w:sz w:val="18"/>
      </w:rPr>
      <w:t>All terms and conditions of this proposal are confidential between Buyer and Seller and their duly appointed agents.  The costs assumed in this proposal are subject to movement during the time period during which Buyer will evaluate this proposal.  This proposal is for discussion purposes only and to facilitate the negotiation, preparation, and execution of a definitive agreement.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p>
    <w:pPr>
      <w:pStyle w:val="Footer"/>
      <w:jc w:val="both"/>
      <w:rPr/>
    </w:pPr>
    <w:r>
      <w:rPr>
        <w:i/>
      </w:rPr>
      <w:tab/>
      <w:tab/>
    </w:r>
    <w:r>
      <w:rPr>
        <w:i/>
      </w:rPr>
      <w:fldChar w:fldCharType="begin"/>
    </w:r>
    <w:r>
      <w:rPr>
        <w:i/>
      </w:rPr>
      <w:instrText xml:space="preserve"> DATE \@"MM\/dd\/yy" </w:instrText>
    </w:r>
    <w:r>
      <w:rPr>
        <w:i/>
      </w:rPr>
      <w:fldChar w:fldCharType="separate"/>
    </w:r>
    <w:r>
      <w:rPr>
        <w:i/>
      </w:rPr>
      <w:t>09/28/25</w:t>
    </w:r>
    <w:r>
      <w:rPr>
        <w:i/>
      </w:rPr>
      <w:fldChar w:fldCharType="end"/>
    </w:r>
    <w:r>
      <w:rPr>
        <w:i/>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pBdr>
        <w:top w:val="single" w:sz="4" w:space="1" w:color="000000"/>
        <w:left w:val="single" w:sz="4" w:space="4" w:color="000000"/>
        <w:bottom w:val="single" w:sz="4" w:space="1" w:color="000000"/>
        <w:right w:val="single" w:sz="4" w:space="4" w:color="000000"/>
      </w:pBdr>
      <w:jc w:val="center"/>
      <w:outlineLvl w:val="2"/>
    </w:pPr>
    <w:rPr>
      <w:b/>
      <w:sz w:val="28"/>
    </w:rPr>
  </w:style>
  <w:style w:type="paragraph" w:styleId="Heading4">
    <w:name w:val="heading 4"/>
    <w:basedOn w:val="Normal"/>
    <w:next w:val="Normal"/>
    <w:qFormat/>
    <w:pPr>
      <w:keepNext w:val="true"/>
      <w:numPr>
        <w:ilvl w:val="3"/>
        <w:numId w:val="1"/>
      </w:numPr>
      <w:jc w:val="both"/>
      <w:outlineLvl w:val="3"/>
    </w:pPr>
    <w:rPr>
      <w:b/>
      <w:u w:val="single"/>
    </w:rPr>
  </w:style>
  <w:style w:type="character" w:styleId="WW8Num1z0">
    <w:name w:val="WW8Num1z0"/>
    <w:qFormat/>
    <w:rPr>
      <w:rFonts w:ascii="Times New Roman" w:hAnsi="Times New Roman" w:cs="Times New Roman"/>
      <w:b w:val="false"/>
      <w:i w:val="false"/>
      <w:sz w:val="20"/>
    </w:rPr>
  </w:style>
  <w:style w:type="character" w:styleId="WW8Num2z0">
    <w:name w:val="WW8Num2z0"/>
    <w:qFormat/>
    <w:rPr>
      <w:rFonts w:ascii="Times New Roman" w:hAnsi="Times New Roman" w:cs="Times New Roman"/>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1440" w:start="1440" w:end="0"/>
      <w:jc w:val="both"/>
    </w:pPr>
    <w:rPr/>
  </w:style>
  <w:style w:type="paragraph" w:styleId="BodyTextIndent3">
    <w:name w:val="Body Text Indent 3"/>
    <w:basedOn w:val="Normal"/>
    <w:qFormat/>
    <w:pPr>
      <w:ind w:hanging="1170" w:start="261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2000-09-25T19:51:00Z</dcterms:created>
  <dc:creator>ENRON</dc:creator>
  <dc:description/>
  <dc:language>en-CA</dc:language>
  <cp:lastModifiedBy>logistics</cp:lastModifiedBy>
  <cp:lastPrinted>2000-05-12T17:21:00Z</cp:lastPrinted>
  <dcterms:modified xsi:type="dcterms:W3CDTF">2000-09-26T01:21:00Z</dcterms:modified>
  <cp:revision>10</cp:revision>
  <dc:subject/>
  <dc:title>ENRON POWER MARKETING, INC</dc:title>
</cp:coreProperties>
</file>