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8856" w:type="dxa"/>
        <w:jc w:val="start"/>
        <w:tblInd w:w="0" w:type="dxa"/>
        <w:tblLayout w:type="fixed"/>
        <w:tblCellMar>
          <w:top w:w="0" w:type="dxa"/>
          <w:start w:w="108" w:type="dxa"/>
          <w:bottom w:w="0" w:type="dxa"/>
          <w:end w:w="108" w:type="dxa"/>
        </w:tblCellMar>
      </w:tblPr>
      <w:tblGrid>
        <w:gridCol w:w="4428"/>
        <w:gridCol w:w="4428"/>
      </w:tblGrid>
      <w:tr>
        <w:trPr/>
        <w:tc>
          <w:tcPr>
            <w:tcW w:w="442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0"/>
              </w:rPr>
            </w:pPr>
            <w:r>
              <w:rPr>
                <w:rFonts w:cs="Arial" w:ascii="Arial" w:hAnsi="Arial"/>
                <w:sz w:val="20"/>
              </w:rPr>
              <w:t>TMS</w:t>
            </w:r>
          </w:p>
        </w:tc>
        <w:tc>
          <w:tcPr>
            <w:tcW w:w="442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0"/>
              </w:rPr>
            </w:pPr>
            <w:r>
              <w:rPr>
                <w:rFonts w:cs="Arial" w:ascii="Arial" w:hAnsi="Arial"/>
                <w:sz w:val="20"/>
              </w:rPr>
              <w:t>Nomination reconciliation needs to have reason codes for gas not flowing</w:t>
            </w:r>
          </w:p>
        </w:tc>
      </w:tr>
      <w:tr>
        <w:trPr/>
        <w:tc>
          <w:tcPr>
            <w:tcW w:w="4428"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sz w:val="20"/>
              </w:rPr>
            </w:pPr>
            <w:r>
              <w:rPr>
                <w:rFonts w:cs="Arial" w:ascii="Arial" w:hAnsi="Arial"/>
                <w:sz w:val="20"/>
              </w:rPr>
            </w:r>
          </w:p>
        </w:tc>
        <w:tc>
          <w:tcPr>
            <w:tcW w:w="442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0"/>
              </w:rPr>
            </w:pPr>
            <w:r>
              <w:rPr>
                <w:rFonts w:cs="Arial" w:ascii="Arial" w:hAnsi="Arial"/>
                <w:sz w:val="20"/>
              </w:rPr>
              <w:t>Nom Rec Screen – all noms – see reason codes with sch flow and cut volumes so that separate window (sch quantities) doesn’t have to be opened</w:t>
            </w:r>
          </w:p>
        </w:tc>
      </w:tr>
      <w:tr>
        <w:trPr/>
        <w:tc>
          <w:tcPr>
            <w:tcW w:w="4428"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sz w:val="20"/>
              </w:rPr>
            </w:pPr>
            <w:r>
              <w:rPr>
                <w:rFonts w:cs="Arial" w:ascii="Arial" w:hAnsi="Arial"/>
                <w:sz w:val="20"/>
              </w:rPr>
            </w:r>
          </w:p>
        </w:tc>
        <w:tc>
          <w:tcPr>
            <w:tcW w:w="442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0"/>
              </w:rPr>
            </w:pPr>
            <w:r>
              <w:rPr>
                <w:rFonts w:cs="Arial" w:ascii="Arial" w:hAnsi="Arial"/>
                <w:sz w:val="20"/>
              </w:rPr>
              <w:t>Nomination screen needs to have ability to see what was entered during each cycle</w:t>
            </w:r>
          </w:p>
        </w:tc>
      </w:tr>
      <w:tr>
        <w:trPr/>
        <w:tc>
          <w:tcPr>
            <w:tcW w:w="4428"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sz w:val="20"/>
              </w:rPr>
            </w:pPr>
            <w:r>
              <w:rPr>
                <w:rFonts w:cs="Arial" w:ascii="Arial" w:hAnsi="Arial"/>
                <w:sz w:val="20"/>
              </w:rPr>
            </w:r>
          </w:p>
        </w:tc>
        <w:tc>
          <w:tcPr>
            <w:tcW w:w="442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0"/>
              </w:rPr>
            </w:pPr>
            <w:r>
              <w:rPr>
                <w:rFonts w:cs="Arial" w:ascii="Arial" w:hAnsi="Arial"/>
                <w:sz w:val="20"/>
              </w:rPr>
              <w:t>Nom Rec Screen – Exceptions = see reason code why things aren’t matching up</w:t>
            </w:r>
          </w:p>
        </w:tc>
      </w:tr>
      <w:tr>
        <w:trPr/>
        <w:tc>
          <w:tcPr>
            <w:tcW w:w="4428"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sz w:val="20"/>
              </w:rPr>
            </w:pPr>
            <w:r>
              <w:rPr>
                <w:rFonts w:cs="Arial" w:ascii="Arial" w:hAnsi="Arial"/>
                <w:sz w:val="20"/>
              </w:rPr>
            </w:r>
          </w:p>
        </w:tc>
        <w:tc>
          <w:tcPr>
            <w:tcW w:w="442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0"/>
              </w:rPr>
            </w:pPr>
            <w:r>
              <w:rPr>
                <w:rFonts w:cs="Arial" w:ascii="Arial" w:hAnsi="Arial"/>
                <w:sz w:val="20"/>
              </w:rPr>
              <w:t>Nomination screen needs contract information ie: primary points</w:t>
            </w:r>
          </w:p>
        </w:tc>
      </w:tr>
      <w:tr>
        <w:trPr/>
        <w:tc>
          <w:tcPr>
            <w:tcW w:w="4428"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sz w:val="20"/>
              </w:rPr>
            </w:pPr>
            <w:r>
              <w:rPr>
                <w:rFonts w:cs="Arial" w:ascii="Arial" w:hAnsi="Arial"/>
                <w:sz w:val="20"/>
              </w:rPr>
            </w:r>
          </w:p>
        </w:tc>
        <w:tc>
          <w:tcPr>
            <w:tcW w:w="442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0"/>
              </w:rPr>
            </w:pPr>
            <w:r>
              <w:rPr>
                <w:rFonts w:cs="Arial" w:ascii="Arial" w:hAnsi="Arial"/>
                <w:sz w:val="20"/>
              </w:rPr>
              <w:t>Easier availability of downloading all nomination screens</w:t>
            </w:r>
          </w:p>
        </w:tc>
      </w:tr>
      <w:tr>
        <w:trPr/>
        <w:tc>
          <w:tcPr>
            <w:tcW w:w="4428"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sz w:val="20"/>
              </w:rPr>
            </w:pPr>
            <w:r>
              <w:rPr>
                <w:rFonts w:cs="Arial" w:ascii="Arial" w:hAnsi="Arial"/>
                <w:sz w:val="20"/>
              </w:rPr>
            </w:r>
          </w:p>
        </w:tc>
        <w:tc>
          <w:tcPr>
            <w:tcW w:w="442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0"/>
              </w:rPr>
            </w:pPr>
            <w:r>
              <w:rPr>
                <w:rFonts w:cs="Arial" w:ascii="Arial" w:hAnsi="Arial"/>
                <w:sz w:val="20"/>
              </w:rPr>
              <w:t>Would be nice to download location and path reports/operator reports etc</w:t>
            </w:r>
          </w:p>
        </w:tc>
      </w:tr>
      <w:tr>
        <w:trPr/>
        <w:tc>
          <w:tcPr>
            <w:tcW w:w="4428"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sz w:val="20"/>
              </w:rPr>
            </w:pPr>
            <w:r>
              <w:rPr>
                <w:rFonts w:cs="Arial" w:ascii="Arial" w:hAnsi="Arial"/>
                <w:sz w:val="20"/>
              </w:rPr>
            </w:r>
          </w:p>
        </w:tc>
        <w:tc>
          <w:tcPr>
            <w:tcW w:w="442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0"/>
              </w:rPr>
            </w:pPr>
            <w:r>
              <w:rPr>
                <w:rFonts w:cs="Arial" w:ascii="Arial" w:hAnsi="Arial"/>
                <w:sz w:val="20"/>
              </w:rPr>
              <w:t>Would be nice to be able to access the meter statements and allocation statements on line in a timely fashion and downloadable</w:t>
            </w:r>
          </w:p>
        </w:tc>
      </w:tr>
      <w:tr>
        <w:trPr/>
        <w:tc>
          <w:tcPr>
            <w:tcW w:w="4428"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sz w:val="20"/>
              </w:rPr>
            </w:pPr>
            <w:r>
              <w:rPr>
                <w:rFonts w:cs="Arial" w:ascii="Arial" w:hAnsi="Arial"/>
                <w:sz w:val="20"/>
              </w:rPr>
            </w:r>
          </w:p>
        </w:tc>
        <w:tc>
          <w:tcPr>
            <w:tcW w:w="442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0"/>
              </w:rPr>
            </w:pPr>
            <w:r>
              <w:rPr>
                <w:rFonts w:cs="Arial" w:ascii="Arial" w:hAnsi="Arial"/>
                <w:sz w:val="20"/>
              </w:rPr>
              <w:t>When are allocation quantities “final” after production month</w:t>
            </w:r>
          </w:p>
        </w:tc>
      </w:tr>
      <w:tr>
        <w:trPr/>
        <w:tc>
          <w:tcPr>
            <w:tcW w:w="4428"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sz w:val="20"/>
              </w:rPr>
            </w:pPr>
            <w:r>
              <w:rPr>
                <w:rFonts w:cs="Arial" w:ascii="Arial" w:hAnsi="Arial"/>
                <w:sz w:val="20"/>
              </w:rPr>
            </w:r>
          </w:p>
        </w:tc>
        <w:tc>
          <w:tcPr>
            <w:tcW w:w="4428" w:type="dxa"/>
            <w:tcBorders>
              <w:top w:val="single" w:sz="4" w:space="0" w:color="000000"/>
              <w:start w:val="single" w:sz="4" w:space="0" w:color="000000"/>
              <w:bottom w:val="single" w:sz="4" w:space="0" w:color="000000"/>
              <w:end w:val="single" w:sz="4" w:space="0" w:color="000000"/>
            </w:tcBorders>
          </w:tcPr>
          <w:p>
            <w:pPr>
              <w:pStyle w:val="Normal"/>
              <w:rPr/>
            </w:pPr>
            <w:r>
              <w:rPr>
                <w:rFonts w:cs="Arial" w:ascii="Arial" w:hAnsi="Arial"/>
                <w:sz w:val="20"/>
              </w:rPr>
              <w:t>Some kind of notation when actuals on summary report are final – 5</w:t>
            </w:r>
            <w:r>
              <w:rPr>
                <w:rFonts w:cs="Arial" w:ascii="Arial" w:hAnsi="Arial"/>
                <w:sz w:val="20"/>
                <w:vertAlign w:val="superscript"/>
              </w:rPr>
              <w:t>th</w:t>
            </w:r>
            <w:r>
              <w:rPr>
                <w:rFonts w:cs="Arial" w:ascii="Arial" w:hAnsi="Arial"/>
                <w:sz w:val="20"/>
              </w:rPr>
              <w:t xml:space="preserve"> workday – 8</w:t>
            </w:r>
            <w:r>
              <w:rPr>
                <w:rFonts w:cs="Arial" w:ascii="Arial" w:hAnsi="Arial"/>
                <w:sz w:val="20"/>
                <w:vertAlign w:val="superscript"/>
              </w:rPr>
              <w:t>th</w:t>
            </w:r>
            <w:r>
              <w:rPr>
                <w:rFonts w:cs="Arial" w:ascii="Arial" w:hAnsi="Arial"/>
                <w:sz w:val="20"/>
              </w:rPr>
              <w:t xml:space="preserve">?   </w:t>
            </w:r>
          </w:p>
        </w:tc>
      </w:tr>
      <w:tr>
        <w:trPr/>
        <w:tc>
          <w:tcPr>
            <w:tcW w:w="4428"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sz w:val="20"/>
              </w:rPr>
            </w:pPr>
            <w:r>
              <w:rPr>
                <w:rFonts w:cs="Arial" w:ascii="Arial" w:hAnsi="Arial"/>
                <w:sz w:val="20"/>
              </w:rPr>
            </w:r>
          </w:p>
        </w:tc>
        <w:tc>
          <w:tcPr>
            <w:tcW w:w="442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0"/>
              </w:rPr>
            </w:pPr>
            <w:r>
              <w:rPr>
                <w:rFonts w:cs="Arial" w:ascii="Arial" w:hAnsi="Arial"/>
                <w:sz w:val="20"/>
              </w:rPr>
              <w:t xml:space="preserve">How does NNG allocate through the pools during a point allocation?  </w:t>
            </w:r>
          </w:p>
          <w:p>
            <w:pPr>
              <w:pStyle w:val="Normal"/>
              <w:rPr>
                <w:rFonts w:ascii="Arial" w:hAnsi="Arial" w:cs="Arial"/>
                <w:sz w:val="20"/>
              </w:rPr>
            </w:pPr>
            <w:r>
              <w:rPr>
                <w:rFonts w:cs="Arial" w:ascii="Arial" w:hAnsi="Arial"/>
                <w:sz w:val="20"/>
              </w:rPr>
              <w:t xml:space="preserve">Does TMS look through the pools to the take away contract?  </w:t>
            </w:r>
          </w:p>
        </w:tc>
      </w:tr>
      <w:tr>
        <w:trPr/>
        <w:tc>
          <w:tcPr>
            <w:tcW w:w="4428"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sz w:val="20"/>
              </w:rPr>
            </w:pPr>
            <w:r>
              <w:rPr>
                <w:rFonts w:cs="Arial" w:ascii="Arial" w:hAnsi="Arial"/>
                <w:sz w:val="20"/>
              </w:rPr>
            </w:r>
          </w:p>
        </w:tc>
        <w:tc>
          <w:tcPr>
            <w:tcW w:w="442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0"/>
              </w:rPr>
            </w:pPr>
            <w:r>
              <w:rPr>
                <w:rFonts w:cs="Arial" w:ascii="Arial" w:hAnsi="Arial"/>
                <w:sz w:val="20"/>
              </w:rPr>
              <w:t>Not easy to determine if an allocation is rescinded</w:t>
            </w:r>
          </w:p>
        </w:tc>
      </w:tr>
      <w:tr>
        <w:trPr/>
        <w:tc>
          <w:tcPr>
            <w:tcW w:w="4428"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sz w:val="20"/>
              </w:rPr>
            </w:pPr>
            <w:r>
              <w:rPr>
                <w:rFonts w:cs="Arial" w:ascii="Arial" w:hAnsi="Arial"/>
                <w:sz w:val="20"/>
              </w:rPr>
            </w:r>
          </w:p>
        </w:tc>
        <w:tc>
          <w:tcPr>
            <w:tcW w:w="442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0"/>
              </w:rPr>
            </w:pPr>
            <w:r>
              <w:rPr>
                <w:rFonts w:cs="Arial" w:ascii="Arial" w:hAnsi="Arial"/>
                <w:sz w:val="20"/>
              </w:rPr>
              <w:t>Late scheduling of allocated storage</w:t>
            </w:r>
          </w:p>
        </w:tc>
      </w:tr>
      <w:tr>
        <w:trPr/>
        <w:tc>
          <w:tcPr>
            <w:tcW w:w="4428"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sz w:val="20"/>
              </w:rPr>
            </w:pPr>
            <w:r>
              <w:rPr>
                <w:rFonts w:cs="Arial" w:ascii="Arial" w:hAnsi="Arial"/>
                <w:sz w:val="20"/>
              </w:rPr>
            </w:r>
          </w:p>
        </w:tc>
        <w:tc>
          <w:tcPr>
            <w:tcW w:w="442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0"/>
              </w:rPr>
            </w:pPr>
            <w:r>
              <w:rPr>
                <w:rFonts w:cs="Arial" w:ascii="Arial" w:hAnsi="Arial"/>
                <w:sz w:val="20"/>
              </w:rPr>
              <w:t>Add additional features not required by GISB</w:t>
            </w:r>
          </w:p>
        </w:tc>
      </w:tr>
      <w:tr>
        <w:trPr/>
        <w:tc>
          <w:tcPr>
            <w:tcW w:w="4428"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sz w:val="20"/>
              </w:rPr>
            </w:pPr>
            <w:r>
              <w:rPr>
                <w:rFonts w:cs="Arial" w:ascii="Arial" w:hAnsi="Arial"/>
                <w:sz w:val="20"/>
              </w:rPr>
            </w:r>
          </w:p>
        </w:tc>
        <w:tc>
          <w:tcPr>
            <w:tcW w:w="442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0"/>
              </w:rPr>
            </w:pPr>
            <w:r>
              <w:rPr>
                <w:rFonts w:cs="Arial" w:ascii="Arial" w:hAnsi="Arial"/>
                <w:sz w:val="20"/>
              </w:rPr>
              <w:t>There is a need for better integration of the EDI information exchange systems</w:t>
            </w:r>
          </w:p>
        </w:tc>
      </w:tr>
      <w:tr>
        <w:trPr/>
        <w:tc>
          <w:tcPr>
            <w:tcW w:w="4428"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sz w:val="20"/>
              </w:rPr>
            </w:pPr>
            <w:r>
              <w:rPr>
                <w:rFonts w:cs="Arial" w:ascii="Arial" w:hAnsi="Arial"/>
                <w:sz w:val="20"/>
              </w:rPr>
            </w:r>
          </w:p>
        </w:tc>
        <w:tc>
          <w:tcPr>
            <w:tcW w:w="442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0"/>
              </w:rPr>
            </w:pPr>
            <w:r>
              <w:rPr>
                <w:rFonts w:cs="Arial" w:ascii="Arial" w:hAnsi="Arial"/>
                <w:sz w:val="20"/>
              </w:rPr>
              <w:t>Consolidating some of the TMS screens that one has to access to get various bits of information necessary to see why gas is not hooked up ie:  reduction codes, access to DUNS #, and scheduled quantities reports</w:t>
            </w:r>
          </w:p>
        </w:tc>
      </w:tr>
      <w:tr>
        <w:trPr/>
        <w:tc>
          <w:tcPr>
            <w:tcW w:w="4428"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sz w:val="20"/>
              </w:rPr>
            </w:pPr>
            <w:r>
              <w:rPr>
                <w:rFonts w:cs="Arial" w:ascii="Arial" w:hAnsi="Arial"/>
                <w:sz w:val="20"/>
              </w:rPr>
            </w:r>
          </w:p>
        </w:tc>
        <w:tc>
          <w:tcPr>
            <w:tcW w:w="442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0"/>
              </w:rPr>
            </w:pPr>
            <w:r>
              <w:rPr>
                <w:rFonts w:cs="Arial" w:ascii="Arial" w:hAnsi="Arial"/>
                <w:sz w:val="20"/>
              </w:rPr>
              <w:t>The allocation process is often a “black hole”.  When we ask how the system will handle a transaction, sometimes the answer is try it and see.  Better documentation of allocation and scheduling rules would be helpful</w:t>
            </w:r>
          </w:p>
        </w:tc>
      </w:tr>
      <w:tr>
        <w:trPr/>
        <w:tc>
          <w:tcPr>
            <w:tcW w:w="4428"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sz w:val="20"/>
              </w:rPr>
            </w:pPr>
            <w:r>
              <w:rPr>
                <w:rFonts w:cs="Arial" w:ascii="Arial" w:hAnsi="Arial"/>
                <w:sz w:val="20"/>
              </w:rPr>
            </w:r>
          </w:p>
        </w:tc>
        <w:tc>
          <w:tcPr>
            <w:tcW w:w="442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0"/>
              </w:rPr>
            </w:pPr>
            <w:r>
              <w:rPr>
                <w:rFonts w:cs="Arial" w:ascii="Arial" w:hAnsi="Arial"/>
                <w:sz w:val="20"/>
              </w:rPr>
              <w:t>View only screens on Hot Tap for downloading reports</w:t>
            </w:r>
          </w:p>
        </w:tc>
      </w:tr>
      <w:tr>
        <w:trPr/>
        <w:tc>
          <w:tcPr>
            <w:tcW w:w="4428"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sz w:val="20"/>
              </w:rPr>
            </w:pPr>
            <w:r>
              <w:rPr>
                <w:rFonts w:cs="Arial" w:ascii="Arial" w:hAnsi="Arial"/>
                <w:sz w:val="20"/>
              </w:rPr>
            </w:r>
          </w:p>
        </w:tc>
        <w:tc>
          <w:tcPr>
            <w:tcW w:w="4428"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t>Why are there cuts on the final AM cycle that were not there for ID2</w:t>
            </w:r>
          </w:p>
        </w:tc>
      </w:tr>
      <w:tr>
        <w:trPr/>
        <w:tc>
          <w:tcPr>
            <w:tcW w:w="4428"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sz w:val="20"/>
              </w:rPr>
            </w:pPr>
            <w:r>
              <w:rPr>
                <w:rFonts w:cs="Arial" w:ascii="Arial" w:hAnsi="Arial"/>
                <w:sz w:val="20"/>
              </w:rPr>
            </w:r>
          </w:p>
        </w:tc>
        <w:tc>
          <w:tcPr>
            <w:tcW w:w="442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0"/>
              </w:rPr>
            </w:pPr>
            <w:r>
              <w:rPr>
                <w:rFonts w:cs="Arial" w:ascii="Arial" w:hAnsi="Arial"/>
                <w:sz w:val="20"/>
              </w:rPr>
              <w:t>Navigation – How can I see why my gas is cut other than the cut cope i.e. PRR (DUNS)?  Path Detective</w:t>
            </w:r>
          </w:p>
        </w:tc>
      </w:tr>
      <w:tr>
        <w:trPr/>
        <w:tc>
          <w:tcPr>
            <w:tcW w:w="4428"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sz w:val="20"/>
              </w:rPr>
            </w:pPr>
            <w:r>
              <w:rPr>
                <w:rFonts w:cs="Arial" w:ascii="Arial" w:hAnsi="Arial"/>
                <w:sz w:val="20"/>
              </w:rPr>
            </w:r>
          </w:p>
        </w:tc>
        <w:tc>
          <w:tcPr>
            <w:tcW w:w="442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0"/>
              </w:rPr>
            </w:pPr>
            <w:r>
              <w:rPr>
                <w:rFonts w:cs="Arial" w:ascii="Arial" w:hAnsi="Arial"/>
                <w:sz w:val="20"/>
              </w:rPr>
              <w:t xml:space="preserve">After scheduling for the timely or final, the use of the nom reconciliation is a double check.  I have been told not to trust this screen – why?  </w:t>
            </w:r>
          </w:p>
        </w:tc>
      </w:tr>
      <w:tr>
        <w:trPr/>
        <w:tc>
          <w:tcPr>
            <w:tcW w:w="4428"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sz w:val="20"/>
              </w:rPr>
            </w:pPr>
            <w:r>
              <w:rPr>
                <w:rFonts w:cs="Arial" w:ascii="Arial" w:hAnsi="Arial"/>
                <w:sz w:val="20"/>
              </w:rPr>
            </w:r>
          </w:p>
        </w:tc>
        <w:tc>
          <w:tcPr>
            <w:tcW w:w="442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0"/>
              </w:rPr>
            </w:pPr>
            <w:r>
              <w:rPr>
                <w:rFonts w:cs="Arial" w:ascii="Arial" w:hAnsi="Arial"/>
                <w:sz w:val="20"/>
              </w:rPr>
              <w:t>We have come across a few times when TW scheduled quantities and those on NNG at Halley don’t match and an imbalance occurs at the point.  At the present time, I believe the only way to rectify this is through cash out.  Is there anyway that a physical payback can occur at the point.  Tracy Weinman – Aquila Dallas</w:t>
            </w:r>
          </w:p>
        </w:tc>
      </w:tr>
      <w:tr>
        <w:trPr/>
        <w:tc>
          <w:tcPr>
            <w:tcW w:w="4428"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sz w:val="20"/>
              </w:rPr>
            </w:pPr>
            <w:r>
              <w:rPr>
                <w:rFonts w:cs="Arial" w:ascii="Arial" w:hAnsi="Arial"/>
                <w:sz w:val="20"/>
              </w:rPr>
            </w:r>
          </w:p>
        </w:tc>
        <w:tc>
          <w:tcPr>
            <w:tcW w:w="442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0"/>
              </w:rPr>
            </w:pPr>
            <w:r>
              <w:rPr>
                <w:rFonts w:cs="Arial" w:ascii="Arial" w:hAnsi="Arial"/>
                <w:sz w:val="20"/>
              </w:rPr>
              <w:t>Time line between buying contract space and being able to nominate on it needs to be shorter – sometimes it is close to cycle deadline before it is updated – a way to not have to log out and in to nominate contracts</w:t>
            </w:r>
          </w:p>
        </w:tc>
      </w:tr>
      <w:tr>
        <w:trPr/>
        <w:tc>
          <w:tcPr>
            <w:tcW w:w="442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0"/>
              </w:rPr>
            </w:pPr>
            <w:r>
              <w:rPr>
                <w:rFonts w:cs="Arial" w:ascii="Arial" w:hAnsi="Arial"/>
                <w:sz w:val="20"/>
              </w:rPr>
              <w:t>Training/TMS</w:t>
            </w:r>
          </w:p>
        </w:tc>
        <w:tc>
          <w:tcPr>
            <w:tcW w:w="442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0"/>
              </w:rPr>
            </w:pPr>
            <w:r>
              <w:rPr>
                <w:rFonts w:cs="Arial" w:ascii="Arial" w:hAnsi="Arial"/>
                <w:sz w:val="20"/>
              </w:rPr>
              <w:t>Practice nom screen for training</w:t>
            </w:r>
          </w:p>
        </w:tc>
      </w:tr>
      <w:tr>
        <w:trPr/>
        <w:tc>
          <w:tcPr>
            <w:tcW w:w="4428"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sz w:val="20"/>
              </w:rPr>
            </w:pPr>
            <w:r>
              <w:rPr>
                <w:rFonts w:cs="Arial" w:ascii="Arial" w:hAnsi="Arial"/>
                <w:sz w:val="20"/>
              </w:rPr>
            </w:r>
          </w:p>
        </w:tc>
        <w:tc>
          <w:tcPr>
            <w:tcW w:w="442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0"/>
              </w:rPr>
            </w:pPr>
            <w:r>
              <w:rPr>
                <w:rFonts w:cs="Arial" w:ascii="Arial" w:hAnsi="Arial"/>
                <w:sz w:val="20"/>
              </w:rPr>
              <w:t>Info on how to get new hires trained on Hot Tap</w:t>
            </w:r>
          </w:p>
        </w:tc>
      </w:tr>
      <w:tr>
        <w:trPr/>
        <w:tc>
          <w:tcPr>
            <w:tcW w:w="4428"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sz w:val="20"/>
              </w:rPr>
            </w:pPr>
            <w:r>
              <w:rPr>
                <w:rFonts w:cs="Arial" w:ascii="Arial" w:hAnsi="Arial"/>
                <w:sz w:val="20"/>
              </w:rPr>
            </w:r>
          </w:p>
        </w:tc>
        <w:tc>
          <w:tcPr>
            <w:tcW w:w="442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0"/>
              </w:rPr>
            </w:pPr>
            <w:r>
              <w:rPr>
                <w:rFonts w:cs="Arial" w:ascii="Arial" w:hAnsi="Arial"/>
                <w:sz w:val="20"/>
              </w:rPr>
              <w:t xml:space="preserve">Training environment in place for new schedulers to join and practice real life scenarios as a chance to learn to properly nom gas (online if possible)  </w:t>
            </w:r>
          </w:p>
        </w:tc>
      </w:tr>
      <w:tr>
        <w:trPr/>
        <w:tc>
          <w:tcPr>
            <w:tcW w:w="442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0"/>
              </w:rPr>
            </w:pPr>
            <w:r>
              <w:rPr>
                <w:rFonts w:cs="Arial" w:ascii="Arial" w:hAnsi="Arial"/>
                <w:sz w:val="20"/>
              </w:rPr>
              <w:t>Rates/Regulatory</w:t>
            </w:r>
          </w:p>
        </w:tc>
        <w:tc>
          <w:tcPr>
            <w:tcW w:w="442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0"/>
              </w:rPr>
            </w:pPr>
            <w:r>
              <w:rPr>
                <w:rFonts w:cs="Arial" w:ascii="Arial" w:hAnsi="Arial"/>
                <w:sz w:val="20"/>
              </w:rPr>
              <w:t>Fuel rate notification timeline</w:t>
            </w:r>
          </w:p>
        </w:tc>
      </w:tr>
      <w:tr>
        <w:trPr/>
        <w:tc>
          <w:tcPr>
            <w:tcW w:w="4428"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sz w:val="20"/>
              </w:rPr>
            </w:pPr>
            <w:r>
              <w:rPr>
                <w:rFonts w:cs="Arial" w:ascii="Arial" w:hAnsi="Arial"/>
                <w:sz w:val="20"/>
              </w:rPr>
            </w:r>
          </w:p>
        </w:tc>
        <w:tc>
          <w:tcPr>
            <w:tcW w:w="442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0"/>
              </w:rPr>
            </w:pPr>
            <w:r>
              <w:rPr>
                <w:rFonts w:cs="Arial" w:ascii="Arial" w:hAnsi="Arial"/>
                <w:sz w:val="20"/>
              </w:rPr>
              <w:t xml:space="preserve">If the system is not hurt due to over/under scheduling, why are penalties still assessed?  </w:t>
            </w:r>
          </w:p>
        </w:tc>
      </w:tr>
      <w:tr>
        <w:trPr/>
        <w:tc>
          <w:tcPr>
            <w:tcW w:w="4428"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sz w:val="20"/>
              </w:rPr>
            </w:pPr>
            <w:r>
              <w:rPr>
                <w:rFonts w:cs="Arial" w:ascii="Arial" w:hAnsi="Arial"/>
                <w:sz w:val="20"/>
              </w:rPr>
            </w:r>
          </w:p>
        </w:tc>
        <w:tc>
          <w:tcPr>
            <w:tcW w:w="442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0"/>
              </w:rPr>
            </w:pPr>
            <w:r>
              <w:rPr>
                <w:rFonts w:cs="Arial" w:ascii="Arial" w:hAnsi="Arial"/>
                <w:sz w:val="20"/>
              </w:rPr>
              <w:t>Timely notification of fuel rate changes</w:t>
            </w:r>
          </w:p>
        </w:tc>
      </w:tr>
      <w:tr>
        <w:trPr/>
        <w:tc>
          <w:tcPr>
            <w:tcW w:w="4428"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sz w:val="20"/>
              </w:rPr>
            </w:pPr>
            <w:r>
              <w:rPr>
                <w:rFonts w:cs="Arial" w:ascii="Arial" w:hAnsi="Arial"/>
                <w:sz w:val="20"/>
              </w:rPr>
            </w:r>
          </w:p>
        </w:tc>
        <w:tc>
          <w:tcPr>
            <w:tcW w:w="442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0"/>
              </w:rPr>
            </w:pPr>
            <w:r>
              <w:rPr>
                <w:rFonts w:cs="Arial" w:ascii="Arial" w:hAnsi="Arial"/>
                <w:sz w:val="20"/>
              </w:rPr>
              <w:t>We would benefit most as customers from fundamental changes in the tariff.  (a.) eliminate daily balancing other than on critical days.  This would eliminate the need for all the extra services required to counter it</w:t>
            </w:r>
          </w:p>
        </w:tc>
      </w:tr>
      <w:tr>
        <w:trPr/>
        <w:tc>
          <w:tcPr>
            <w:tcW w:w="4428"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sz w:val="20"/>
              </w:rPr>
            </w:pPr>
            <w:r>
              <w:rPr>
                <w:rFonts w:cs="Arial" w:ascii="Arial" w:hAnsi="Arial"/>
                <w:sz w:val="20"/>
              </w:rPr>
            </w:r>
          </w:p>
        </w:tc>
        <w:tc>
          <w:tcPr>
            <w:tcW w:w="442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0"/>
              </w:rPr>
            </w:pPr>
            <w:r>
              <w:rPr>
                <w:rFonts w:cs="Arial" w:ascii="Arial" w:hAnsi="Arial"/>
                <w:sz w:val="20"/>
              </w:rPr>
              <w:t xml:space="preserve">You need to be more open to changing issues in the tariff (that is making it more customer friendly) </w:t>
            </w:r>
          </w:p>
        </w:tc>
      </w:tr>
      <w:tr>
        <w:trPr/>
        <w:tc>
          <w:tcPr>
            <w:tcW w:w="4428"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sz w:val="20"/>
              </w:rPr>
            </w:pPr>
            <w:r>
              <w:rPr>
                <w:rFonts w:cs="Arial" w:ascii="Arial" w:hAnsi="Arial"/>
                <w:sz w:val="20"/>
              </w:rPr>
            </w:r>
          </w:p>
        </w:tc>
        <w:tc>
          <w:tcPr>
            <w:tcW w:w="442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0"/>
              </w:rPr>
            </w:pPr>
            <w:r>
              <w:rPr>
                <w:rFonts w:cs="Arial" w:ascii="Arial" w:hAnsi="Arial"/>
                <w:sz w:val="20"/>
              </w:rPr>
              <w:t>The areas for improvement have to start with tariff changes, your group has to operate within the tariff guidelines.  IT IS THE TARIFF that is bringing poor survey results, not the customer service group enforcing IT.  The tariff is not customer friendly, does not have the customers interests and concerns in mind, and is unnecessarily strict for the profit of NNG</w:t>
            </w:r>
          </w:p>
        </w:tc>
      </w:tr>
      <w:tr>
        <w:trPr/>
        <w:tc>
          <w:tcPr>
            <w:tcW w:w="442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0"/>
              </w:rPr>
            </w:pPr>
            <w:r>
              <w:rPr>
                <w:rFonts w:cs="Arial" w:ascii="Arial" w:hAnsi="Arial"/>
                <w:sz w:val="20"/>
              </w:rPr>
              <w:t>Measurement</w:t>
            </w:r>
          </w:p>
        </w:tc>
        <w:tc>
          <w:tcPr>
            <w:tcW w:w="442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0"/>
              </w:rPr>
            </w:pPr>
            <w:r>
              <w:rPr>
                <w:rFonts w:cs="Arial" w:ascii="Arial" w:hAnsi="Arial"/>
                <w:sz w:val="20"/>
              </w:rPr>
              <w:t>Second half of the month, non tele-metered usage is not daily balanced</w:t>
            </w:r>
          </w:p>
        </w:tc>
      </w:tr>
      <w:tr>
        <w:trPr/>
        <w:tc>
          <w:tcPr>
            <w:tcW w:w="4428"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sz w:val="20"/>
              </w:rPr>
            </w:pPr>
            <w:r>
              <w:rPr>
                <w:rFonts w:cs="Arial" w:ascii="Arial" w:hAnsi="Arial"/>
                <w:sz w:val="20"/>
              </w:rPr>
            </w:r>
          </w:p>
        </w:tc>
        <w:tc>
          <w:tcPr>
            <w:tcW w:w="442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0"/>
              </w:rPr>
            </w:pPr>
            <w:r>
              <w:rPr>
                <w:rFonts w:cs="Arial" w:ascii="Arial" w:hAnsi="Arial"/>
                <w:sz w:val="20"/>
              </w:rPr>
              <w:t>Develop good enough relations with field people to know flow changes prior to shippers informing you</w:t>
            </w:r>
          </w:p>
        </w:tc>
      </w:tr>
      <w:tr>
        <w:trPr/>
        <w:tc>
          <w:tcPr>
            <w:tcW w:w="4428"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sz w:val="20"/>
              </w:rPr>
            </w:pPr>
            <w:r>
              <w:rPr>
                <w:rFonts w:cs="Arial" w:ascii="Arial" w:hAnsi="Arial"/>
                <w:sz w:val="20"/>
              </w:rPr>
            </w:r>
          </w:p>
        </w:tc>
        <w:tc>
          <w:tcPr>
            <w:tcW w:w="442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0"/>
              </w:rPr>
            </w:pPr>
            <w:r>
              <w:rPr>
                <w:rFonts w:cs="Arial" w:ascii="Arial" w:hAnsi="Arial"/>
                <w:sz w:val="20"/>
              </w:rPr>
              <w:t>Contacting measurement personnel is extremely difficult</w:t>
            </w:r>
          </w:p>
        </w:tc>
      </w:tr>
      <w:tr>
        <w:trPr/>
        <w:tc>
          <w:tcPr>
            <w:tcW w:w="4428"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sz w:val="20"/>
              </w:rPr>
            </w:pPr>
            <w:r>
              <w:rPr>
                <w:rFonts w:cs="Arial" w:ascii="Arial" w:hAnsi="Arial"/>
                <w:sz w:val="20"/>
              </w:rPr>
            </w:r>
          </w:p>
        </w:tc>
        <w:tc>
          <w:tcPr>
            <w:tcW w:w="442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0"/>
              </w:rPr>
            </w:pPr>
            <w:r>
              <w:rPr>
                <w:rFonts w:cs="Arial" w:ascii="Arial" w:hAnsi="Arial"/>
                <w:sz w:val="20"/>
              </w:rPr>
              <w:t>Continue to have problems reconciling measurement problems on smaller TBS’s</w:t>
            </w:r>
          </w:p>
        </w:tc>
      </w:tr>
      <w:tr>
        <w:trPr/>
        <w:tc>
          <w:tcPr>
            <w:tcW w:w="442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0"/>
              </w:rPr>
            </w:pPr>
            <w:r>
              <w:rPr>
                <w:rFonts w:cs="Arial" w:ascii="Arial" w:hAnsi="Arial"/>
                <w:sz w:val="20"/>
              </w:rPr>
              <w:t>Notification</w:t>
            </w:r>
          </w:p>
        </w:tc>
        <w:tc>
          <w:tcPr>
            <w:tcW w:w="442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0"/>
              </w:rPr>
            </w:pPr>
            <w:r>
              <w:rPr>
                <w:rFonts w:cs="Arial" w:ascii="Arial" w:hAnsi="Arial"/>
                <w:sz w:val="20"/>
              </w:rPr>
              <w:t>E-mail notice when new notices are added to website w/ address to directly pull up new notice - also w/ storage allocations</w:t>
            </w:r>
          </w:p>
        </w:tc>
      </w:tr>
      <w:tr>
        <w:trPr/>
        <w:tc>
          <w:tcPr>
            <w:tcW w:w="4428"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sz w:val="20"/>
              </w:rPr>
            </w:pPr>
            <w:r>
              <w:rPr>
                <w:rFonts w:cs="Arial" w:ascii="Arial" w:hAnsi="Arial"/>
                <w:sz w:val="20"/>
              </w:rPr>
            </w:r>
          </w:p>
        </w:tc>
        <w:tc>
          <w:tcPr>
            <w:tcW w:w="442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0"/>
              </w:rPr>
            </w:pPr>
            <w:r>
              <w:rPr>
                <w:rFonts w:cs="Arial" w:ascii="Arial" w:hAnsi="Arial"/>
                <w:sz w:val="20"/>
              </w:rPr>
              <w:t>Notice on outages is critical</w:t>
            </w:r>
          </w:p>
        </w:tc>
      </w:tr>
      <w:tr>
        <w:trPr/>
        <w:tc>
          <w:tcPr>
            <w:tcW w:w="4428"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sz w:val="20"/>
              </w:rPr>
            </w:pPr>
            <w:r>
              <w:rPr>
                <w:rFonts w:cs="Arial" w:ascii="Arial" w:hAnsi="Arial"/>
                <w:sz w:val="20"/>
              </w:rPr>
            </w:r>
          </w:p>
        </w:tc>
        <w:tc>
          <w:tcPr>
            <w:tcW w:w="442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0"/>
              </w:rPr>
            </w:pPr>
            <w:r>
              <w:rPr>
                <w:rFonts w:cs="Arial" w:ascii="Arial" w:hAnsi="Arial"/>
                <w:sz w:val="20"/>
              </w:rPr>
              <w:t>NNG waits right up to scheduling deadlines to give answers concerning downtime – clarity about downtime</w:t>
            </w:r>
          </w:p>
        </w:tc>
      </w:tr>
      <w:tr>
        <w:trPr/>
        <w:tc>
          <w:tcPr>
            <w:tcW w:w="4428"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sz w:val="20"/>
              </w:rPr>
            </w:pPr>
            <w:r>
              <w:rPr>
                <w:rFonts w:cs="Arial" w:ascii="Arial" w:hAnsi="Arial"/>
                <w:sz w:val="20"/>
              </w:rPr>
            </w:r>
          </w:p>
        </w:tc>
        <w:tc>
          <w:tcPr>
            <w:tcW w:w="442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0"/>
              </w:rPr>
            </w:pPr>
            <w:r>
              <w:rPr>
                <w:rFonts w:cs="Arial" w:ascii="Arial" w:hAnsi="Arial"/>
                <w:sz w:val="20"/>
              </w:rPr>
              <w:t>When changes are made to the Bushton Universe postings it would be extremely helpful to be notified of the changes – What is the purpose of Bushton Universe Affidavits?</w:t>
            </w:r>
          </w:p>
        </w:tc>
      </w:tr>
      <w:tr>
        <w:trPr/>
        <w:tc>
          <w:tcPr>
            <w:tcW w:w="4428"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sz w:val="20"/>
              </w:rPr>
            </w:pPr>
            <w:r>
              <w:rPr>
                <w:rFonts w:cs="Arial" w:ascii="Arial" w:hAnsi="Arial"/>
                <w:sz w:val="20"/>
              </w:rPr>
            </w:r>
          </w:p>
        </w:tc>
        <w:tc>
          <w:tcPr>
            <w:tcW w:w="442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0"/>
              </w:rPr>
            </w:pPr>
            <w:r>
              <w:rPr>
                <w:rFonts w:cs="Arial" w:ascii="Arial" w:hAnsi="Arial"/>
                <w:sz w:val="20"/>
              </w:rPr>
              <w:t>E-mail notice of nomination problems is excellent</w:t>
            </w:r>
          </w:p>
        </w:tc>
      </w:tr>
      <w:tr>
        <w:trPr/>
        <w:tc>
          <w:tcPr>
            <w:tcW w:w="4428"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sz w:val="20"/>
              </w:rPr>
            </w:pPr>
            <w:r>
              <w:rPr>
                <w:rFonts w:cs="Arial" w:ascii="Arial" w:hAnsi="Arial"/>
                <w:sz w:val="20"/>
              </w:rPr>
            </w:r>
          </w:p>
        </w:tc>
        <w:tc>
          <w:tcPr>
            <w:tcW w:w="442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0"/>
              </w:rPr>
            </w:pPr>
            <w:r>
              <w:rPr>
                <w:rFonts w:cs="Arial" w:ascii="Arial" w:hAnsi="Arial"/>
                <w:sz w:val="20"/>
              </w:rPr>
              <w:t>Outage info available from Hot Tap screen</w:t>
            </w:r>
          </w:p>
        </w:tc>
      </w:tr>
      <w:tr>
        <w:trPr/>
        <w:tc>
          <w:tcPr>
            <w:tcW w:w="4428"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sz w:val="20"/>
              </w:rPr>
            </w:pPr>
            <w:r>
              <w:rPr>
                <w:rFonts w:cs="Arial" w:ascii="Arial" w:hAnsi="Arial"/>
                <w:sz w:val="20"/>
              </w:rPr>
            </w:r>
          </w:p>
        </w:tc>
        <w:tc>
          <w:tcPr>
            <w:tcW w:w="442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0"/>
              </w:rPr>
            </w:pPr>
            <w:r>
              <w:rPr>
                <w:rFonts w:cs="Arial" w:ascii="Arial" w:hAnsi="Arial"/>
                <w:sz w:val="20"/>
              </w:rPr>
              <w:t>Post how much gas is nominated through DeMarc each day after cycle 1</w:t>
            </w:r>
          </w:p>
        </w:tc>
      </w:tr>
      <w:tr>
        <w:trPr/>
        <w:tc>
          <w:tcPr>
            <w:tcW w:w="4428"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sz w:val="20"/>
              </w:rPr>
            </w:pPr>
            <w:r>
              <w:rPr>
                <w:rFonts w:cs="Arial" w:ascii="Arial" w:hAnsi="Arial"/>
                <w:sz w:val="20"/>
              </w:rPr>
            </w:r>
          </w:p>
        </w:tc>
        <w:tc>
          <w:tcPr>
            <w:tcW w:w="442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0"/>
              </w:rPr>
            </w:pPr>
            <w:r>
              <w:rPr>
                <w:rFonts w:cs="Arial" w:ascii="Arial" w:hAnsi="Arial"/>
                <w:sz w:val="20"/>
              </w:rPr>
              <w:t xml:space="preserve">Posting of storage allocations on Hot Tap </w:t>
            </w:r>
          </w:p>
        </w:tc>
      </w:tr>
      <w:tr>
        <w:trPr/>
        <w:tc>
          <w:tcPr>
            <w:tcW w:w="4428"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sz w:val="20"/>
              </w:rPr>
            </w:pPr>
            <w:r>
              <w:rPr>
                <w:rFonts w:cs="Arial" w:ascii="Arial" w:hAnsi="Arial"/>
                <w:sz w:val="20"/>
              </w:rPr>
            </w:r>
          </w:p>
        </w:tc>
        <w:tc>
          <w:tcPr>
            <w:tcW w:w="442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0"/>
              </w:rPr>
            </w:pPr>
            <w:r>
              <w:rPr>
                <w:rFonts w:cs="Arial" w:ascii="Arial" w:hAnsi="Arial"/>
                <w:sz w:val="20"/>
              </w:rPr>
              <w:t>E-mail notifications for cuts</w:t>
            </w:r>
          </w:p>
          <w:p>
            <w:pPr>
              <w:pStyle w:val="Normal"/>
              <w:numPr>
                <w:ilvl w:val="0"/>
                <w:numId w:val="1"/>
              </w:numPr>
              <w:rPr>
                <w:rFonts w:ascii="Arial" w:hAnsi="Arial" w:cs="Arial"/>
                <w:sz w:val="20"/>
              </w:rPr>
            </w:pPr>
            <w:r>
              <w:rPr>
                <w:rFonts w:cs="Arial" w:ascii="Arial" w:hAnsi="Arial"/>
                <w:sz w:val="20"/>
              </w:rPr>
              <w:t>they are set up by contracts</w:t>
            </w:r>
          </w:p>
          <w:p>
            <w:pPr>
              <w:pStyle w:val="Normal"/>
              <w:numPr>
                <w:ilvl w:val="0"/>
                <w:numId w:val="1"/>
              </w:numPr>
              <w:rPr>
                <w:rFonts w:ascii="Arial" w:hAnsi="Arial" w:cs="Arial"/>
                <w:sz w:val="20"/>
              </w:rPr>
            </w:pPr>
            <w:r>
              <w:rPr>
                <w:rFonts w:cs="Arial" w:ascii="Arial" w:hAnsi="Arial"/>
                <w:sz w:val="20"/>
              </w:rPr>
              <w:t>could they be set up by entity instead so that all contracts that belong to a particular company will automatically be set up to notify the customers of cuts</w:t>
            </w:r>
          </w:p>
          <w:p>
            <w:pPr>
              <w:pStyle w:val="Normal"/>
              <w:numPr>
                <w:ilvl w:val="0"/>
                <w:numId w:val="1"/>
              </w:numPr>
              <w:rPr>
                <w:rFonts w:ascii="Arial" w:hAnsi="Arial" w:cs="Arial"/>
                <w:sz w:val="20"/>
              </w:rPr>
            </w:pPr>
            <w:r>
              <w:rPr>
                <w:rFonts w:cs="Arial" w:ascii="Arial" w:hAnsi="Arial"/>
                <w:sz w:val="20"/>
              </w:rPr>
              <w:t>some times a contract gets missed and we are not notified of cuts</w:t>
            </w:r>
          </w:p>
          <w:p>
            <w:pPr>
              <w:pStyle w:val="Normal"/>
              <w:rPr>
                <w:rFonts w:ascii="Arial" w:hAnsi="Arial" w:cs="Arial"/>
                <w:sz w:val="20"/>
              </w:rPr>
            </w:pPr>
            <w:r>
              <w:rPr>
                <w:rFonts w:cs="Arial" w:ascii="Arial" w:hAnsi="Arial"/>
                <w:sz w:val="20"/>
              </w:rPr>
            </w:r>
          </w:p>
        </w:tc>
      </w:tr>
      <w:tr>
        <w:trPr/>
        <w:tc>
          <w:tcPr>
            <w:tcW w:w="4428"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sz w:val="20"/>
              </w:rPr>
            </w:pPr>
            <w:r>
              <w:rPr>
                <w:rFonts w:cs="Arial" w:ascii="Arial" w:hAnsi="Arial"/>
                <w:sz w:val="20"/>
              </w:rPr>
            </w:r>
          </w:p>
        </w:tc>
        <w:tc>
          <w:tcPr>
            <w:tcW w:w="4428"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sz w:val="20"/>
              </w:rPr>
            </w:pPr>
            <w:r>
              <w:rPr>
                <w:rFonts w:cs="Arial" w:ascii="Arial" w:hAnsi="Arial"/>
                <w:sz w:val="20"/>
              </w:rPr>
            </w:r>
          </w:p>
        </w:tc>
      </w:tr>
      <w:tr>
        <w:trPr/>
        <w:tc>
          <w:tcPr>
            <w:tcW w:w="442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0"/>
              </w:rPr>
            </w:pPr>
            <w:r>
              <w:rPr>
                <w:rFonts w:cs="Arial" w:ascii="Arial" w:hAnsi="Arial"/>
                <w:sz w:val="20"/>
              </w:rPr>
              <w:t>Marketing</w:t>
            </w:r>
          </w:p>
        </w:tc>
        <w:tc>
          <w:tcPr>
            <w:tcW w:w="442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0"/>
              </w:rPr>
            </w:pPr>
            <w:r>
              <w:rPr>
                <w:rFonts w:cs="Arial" w:ascii="Arial" w:hAnsi="Arial"/>
                <w:sz w:val="20"/>
              </w:rPr>
              <w:t>OBA management – contract – we desire structuring to separate points on different profit centers across the continent</w:t>
            </w:r>
          </w:p>
        </w:tc>
      </w:tr>
      <w:tr>
        <w:trPr/>
        <w:tc>
          <w:tcPr>
            <w:tcW w:w="4428"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sz w:val="20"/>
              </w:rPr>
            </w:pPr>
            <w:r>
              <w:rPr>
                <w:rFonts w:cs="Arial" w:ascii="Arial" w:hAnsi="Arial"/>
                <w:sz w:val="20"/>
              </w:rPr>
            </w:r>
          </w:p>
        </w:tc>
        <w:tc>
          <w:tcPr>
            <w:tcW w:w="442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0"/>
              </w:rPr>
            </w:pPr>
            <w:r>
              <w:rPr>
                <w:rFonts w:cs="Arial" w:ascii="Arial" w:hAnsi="Arial"/>
                <w:sz w:val="20"/>
              </w:rPr>
              <w:t>Getting a deal closed sometimes takes too long.  This could be related to NNG taking the position that max rates are the standard first offer.  Move faster/have negotiation flexibility at customer rep level.  No need to go back and forth w/ management.  Deals need to be done on a timely basis or other alternatives will be utilized, such as system bypass</w:t>
            </w:r>
          </w:p>
        </w:tc>
      </w:tr>
      <w:tr>
        <w:trPr/>
        <w:tc>
          <w:tcPr>
            <w:tcW w:w="4428"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sz w:val="20"/>
              </w:rPr>
            </w:pPr>
            <w:r>
              <w:rPr>
                <w:rFonts w:cs="Arial" w:ascii="Arial" w:hAnsi="Arial"/>
                <w:sz w:val="20"/>
              </w:rPr>
            </w:r>
          </w:p>
        </w:tc>
        <w:tc>
          <w:tcPr>
            <w:tcW w:w="442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0"/>
              </w:rPr>
            </w:pPr>
            <w:r>
              <w:rPr>
                <w:rFonts w:cs="Arial" w:ascii="Arial" w:hAnsi="Arial"/>
                <w:sz w:val="20"/>
              </w:rPr>
              <w:t>Appreciate the daily marketing of storage and related services.  Very dynamic marketplace – not always time to look at every option on every pipeline – it is good when pipeline calls the various suppliers and shippers to “promote” the opportunities</w:t>
            </w:r>
          </w:p>
        </w:tc>
      </w:tr>
      <w:tr>
        <w:trPr/>
        <w:tc>
          <w:tcPr>
            <w:tcW w:w="4428"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sz w:val="20"/>
              </w:rPr>
            </w:pPr>
            <w:r>
              <w:rPr>
                <w:rFonts w:cs="Arial" w:ascii="Arial" w:hAnsi="Arial"/>
                <w:sz w:val="20"/>
              </w:rPr>
            </w:r>
          </w:p>
        </w:tc>
        <w:tc>
          <w:tcPr>
            <w:tcW w:w="442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0"/>
              </w:rPr>
            </w:pPr>
            <w:r>
              <w:rPr>
                <w:rFonts w:cs="Arial" w:ascii="Arial" w:hAnsi="Arial"/>
                <w:sz w:val="20"/>
              </w:rPr>
              <w:t>Quick response on discount requests</w:t>
            </w:r>
          </w:p>
        </w:tc>
      </w:tr>
      <w:tr>
        <w:trPr/>
        <w:tc>
          <w:tcPr>
            <w:tcW w:w="442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0"/>
              </w:rPr>
            </w:pPr>
            <w:r>
              <w:rPr>
                <w:rFonts w:cs="Arial" w:ascii="Arial" w:hAnsi="Arial"/>
                <w:sz w:val="20"/>
              </w:rPr>
              <w:t>Business Development</w:t>
            </w:r>
          </w:p>
        </w:tc>
        <w:tc>
          <w:tcPr>
            <w:tcW w:w="442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0"/>
              </w:rPr>
            </w:pPr>
            <w:r>
              <w:rPr>
                <w:rFonts w:cs="Arial" w:ascii="Arial" w:hAnsi="Arial"/>
                <w:sz w:val="20"/>
              </w:rPr>
              <w:t>Transition of MOPS from NNG to FGT</w:t>
            </w:r>
          </w:p>
        </w:tc>
      </w:tr>
      <w:tr>
        <w:trPr/>
        <w:tc>
          <w:tcPr>
            <w:tcW w:w="442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0"/>
              </w:rPr>
            </w:pPr>
            <w:r>
              <w:rPr>
                <w:rFonts w:cs="Arial" w:ascii="Arial" w:hAnsi="Arial"/>
                <w:sz w:val="20"/>
              </w:rPr>
              <w:t>General customer service</w:t>
            </w:r>
          </w:p>
        </w:tc>
        <w:tc>
          <w:tcPr>
            <w:tcW w:w="442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0"/>
              </w:rPr>
            </w:pPr>
            <w:r>
              <w:rPr>
                <w:rFonts w:cs="Arial" w:ascii="Arial" w:hAnsi="Arial"/>
                <w:sz w:val="20"/>
              </w:rPr>
              <w:t>NNG reps are completely inflexible.  No exceptions are made to the nominations, scheduling</w:t>
            </w:r>
          </w:p>
        </w:tc>
      </w:tr>
      <w:tr>
        <w:trPr/>
        <w:tc>
          <w:tcPr>
            <w:tcW w:w="4428"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sz w:val="20"/>
              </w:rPr>
            </w:pPr>
            <w:r>
              <w:rPr>
                <w:rFonts w:cs="Arial" w:ascii="Arial" w:hAnsi="Arial"/>
                <w:sz w:val="20"/>
              </w:rPr>
            </w:r>
          </w:p>
        </w:tc>
        <w:tc>
          <w:tcPr>
            <w:tcW w:w="442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0"/>
              </w:rPr>
            </w:pPr>
            <w:r>
              <w:rPr>
                <w:rFonts w:cs="Arial" w:ascii="Arial" w:hAnsi="Arial"/>
                <w:sz w:val="20"/>
              </w:rPr>
              <w:t>Empowerment – no one in your organization can make a decision w/o going through 3 levels of mgmt</w:t>
            </w:r>
          </w:p>
        </w:tc>
      </w:tr>
      <w:tr>
        <w:trPr/>
        <w:tc>
          <w:tcPr>
            <w:tcW w:w="4428"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sz w:val="20"/>
              </w:rPr>
            </w:pPr>
            <w:r>
              <w:rPr>
                <w:rFonts w:cs="Arial" w:ascii="Arial" w:hAnsi="Arial"/>
                <w:sz w:val="20"/>
              </w:rPr>
            </w:r>
          </w:p>
        </w:tc>
        <w:tc>
          <w:tcPr>
            <w:tcW w:w="442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0"/>
              </w:rPr>
            </w:pPr>
            <w:r>
              <w:rPr>
                <w:rFonts w:cs="Arial" w:ascii="Arial" w:hAnsi="Arial"/>
                <w:sz w:val="20"/>
              </w:rPr>
              <w:t>Good job; pleasant interactions, timely callbacks</w:t>
            </w:r>
          </w:p>
        </w:tc>
      </w:tr>
      <w:tr>
        <w:trPr/>
        <w:tc>
          <w:tcPr>
            <w:tcW w:w="4428"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sz w:val="20"/>
              </w:rPr>
            </w:pPr>
            <w:r>
              <w:rPr>
                <w:rFonts w:cs="Arial" w:ascii="Arial" w:hAnsi="Arial"/>
                <w:sz w:val="20"/>
              </w:rPr>
            </w:r>
          </w:p>
        </w:tc>
        <w:tc>
          <w:tcPr>
            <w:tcW w:w="442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0"/>
              </w:rPr>
            </w:pPr>
            <w:r>
              <w:rPr>
                <w:rFonts w:cs="Arial" w:ascii="Arial" w:hAnsi="Arial"/>
                <w:sz w:val="20"/>
              </w:rPr>
              <w:t>Please include us in the test phases of your new products – invoices.  Greg Hathaway (804) 273-4421 Va Power</w:t>
            </w:r>
          </w:p>
        </w:tc>
      </w:tr>
      <w:tr>
        <w:trPr/>
        <w:tc>
          <w:tcPr>
            <w:tcW w:w="4428"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sz w:val="20"/>
              </w:rPr>
            </w:pPr>
            <w:r>
              <w:rPr>
                <w:rFonts w:cs="Arial" w:ascii="Arial" w:hAnsi="Arial"/>
                <w:sz w:val="20"/>
              </w:rPr>
            </w:r>
          </w:p>
        </w:tc>
        <w:tc>
          <w:tcPr>
            <w:tcW w:w="442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0"/>
              </w:rPr>
            </w:pPr>
            <w:r>
              <w:rPr>
                <w:rFonts w:cs="Arial" w:ascii="Arial" w:hAnsi="Arial"/>
                <w:sz w:val="20"/>
              </w:rPr>
              <w:t xml:space="preserve">As shipper, I’d like to be able to count on my customer services rep to adjust/correct my nomination per my request when necessary ie (after normal business hours) if we do not find ourselves near a PC and we have a deadline approaching soon.  We see to always get “I can’t do that – you need to find a way to log in and do it.”  Yet our other pipelines’ reps do help us under such circumstances.  I’ve also been told, “per GISB, we’re not allowed”.  Where does this come from?  </w:t>
            </w:r>
          </w:p>
        </w:tc>
      </w:tr>
      <w:tr>
        <w:trPr/>
        <w:tc>
          <w:tcPr>
            <w:tcW w:w="4428"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sz w:val="20"/>
              </w:rPr>
            </w:pPr>
            <w:r>
              <w:rPr>
                <w:rFonts w:cs="Arial" w:ascii="Arial" w:hAnsi="Arial"/>
                <w:sz w:val="20"/>
              </w:rPr>
            </w:r>
          </w:p>
        </w:tc>
        <w:tc>
          <w:tcPr>
            <w:tcW w:w="442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0"/>
              </w:rPr>
            </w:pPr>
            <w:r>
              <w:rPr>
                <w:rFonts w:cs="Arial" w:ascii="Arial" w:hAnsi="Arial"/>
                <w:sz w:val="20"/>
              </w:rPr>
              <w:t xml:space="preserve">Representatives are not customer responsive, when problems arise, reps disappear.  </w:t>
            </w:r>
          </w:p>
        </w:tc>
      </w:tr>
      <w:tr>
        <w:trPr/>
        <w:tc>
          <w:tcPr>
            <w:tcW w:w="4428"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sz w:val="20"/>
              </w:rPr>
            </w:pPr>
            <w:r>
              <w:rPr>
                <w:rFonts w:cs="Arial" w:ascii="Arial" w:hAnsi="Arial"/>
                <w:sz w:val="20"/>
              </w:rPr>
            </w:r>
          </w:p>
        </w:tc>
        <w:tc>
          <w:tcPr>
            <w:tcW w:w="442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0"/>
              </w:rPr>
            </w:pPr>
            <w:r>
              <w:rPr>
                <w:rFonts w:cs="Arial" w:ascii="Arial" w:hAnsi="Arial"/>
                <w:sz w:val="20"/>
              </w:rPr>
              <w:t>Hot Tap available 7/24</w:t>
            </w:r>
          </w:p>
        </w:tc>
      </w:tr>
      <w:tr>
        <w:trPr/>
        <w:tc>
          <w:tcPr>
            <w:tcW w:w="4428"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sz w:val="20"/>
              </w:rPr>
            </w:pPr>
            <w:r>
              <w:rPr>
                <w:rFonts w:cs="Arial" w:ascii="Arial" w:hAnsi="Arial"/>
                <w:sz w:val="20"/>
              </w:rPr>
            </w:r>
          </w:p>
        </w:tc>
        <w:tc>
          <w:tcPr>
            <w:tcW w:w="4428" w:type="dxa"/>
            <w:tcBorders>
              <w:top w:val="single" w:sz="4" w:space="0" w:color="000000"/>
              <w:start w:val="single" w:sz="4" w:space="0" w:color="000000"/>
              <w:bottom w:val="single" w:sz="4" w:space="0" w:color="000000"/>
              <w:end w:val="single" w:sz="4" w:space="0" w:color="000000"/>
            </w:tcBorders>
          </w:tcPr>
          <w:p>
            <w:pPr>
              <w:pStyle w:val="Normal"/>
              <w:rPr/>
            </w:pPr>
            <w:r>
              <w:rPr>
                <w:rFonts w:cs="Arial" w:ascii="Arial" w:hAnsi="Arial"/>
                <w:sz w:val="20"/>
              </w:rPr>
              <w:t xml:space="preserve">Representative visits – worked here 5 years and have </w:t>
            </w:r>
            <w:r>
              <w:rPr>
                <w:rFonts w:cs="Arial" w:ascii="Arial" w:hAnsi="Arial"/>
                <w:sz w:val="20"/>
                <w:u w:val="single"/>
              </w:rPr>
              <w:t xml:space="preserve">never </w:t>
            </w:r>
            <w:r>
              <w:rPr>
                <w:rFonts w:cs="Arial" w:ascii="Arial" w:hAnsi="Arial"/>
                <w:sz w:val="20"/>
              </w:rPr>
              <w:t>seen him</w:t>
            </w:r>
          </w:p>
        </w:tc>
      </w:tr>
      <w:tr>
        <w:trPr/>
        <w:tc>
          <w:tcPr>
            <w:tcW w:w="4428"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sz w:val="20"/>
              </w:rPr>
            </w:pPr>
            <w:r>
              <w:rPr>
                <w:rFonts w:cs="Arial" w:ascii="Arial" w:hAnsi="Arial"/>
                <w:sz w:val="20"/>
              </w:rPr>
            </w:r>
          </w:p>
        </w:tc>
        <w:tc>
          <w:tcPr>
            <w:tcW w:w="442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0"/>
              </w:rPr>
            </w:pPr>
            <w:r>
              <w:rPr>
                <w:rFonts w:cs="Arial" w:ascii="Arial" w:hAnsi="Arial"/>
                <w:sz w:val="20"/>
              </w:rPr>
              <w:t xml:space="preserve">Consistency in capability of customer service reps.   Some very good.  Some you can’t rely on.  </w:t>
            </w:r>
          </w:p>
        </w:tc>
      </w:tr>
      <w:tr>
        <w:trPr/>
        <w:tc>
          <w:tcPr>
            <w:tcW w:w="4428"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sz w:val="20"/>
              </w:rPr>
            </w:pPr>
            <w:r>
              <w:rPr>
                <w:rFonts w:cs="Arial" w:ascii="Arial" w:hAnsi="Arial"/>
                <w:sz w:val="20"/>
              </w:rPr>
            </w:r>
          </w:p>
        </w:tc>
        <w:tc>
          <w:tcPr>
            <w:tcW w:w="442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0"/>
              </w:rPr>
            </w:pPr>
            <w:r>
              <w:rPr>
                <w:rFonts w:cs="Arial" w:ascii="Arial" w:hAnsi="Arial"/>
                <w:sz w:val="20"/>
              </w:rPr>
              <w:t xml:space="preserve">When will invoice and imbalance data be available electronically in a usable format? </w:t>
            </w:r>
          </w:p>
        </w:tc>
      </w:tr>
      <w:tr>
        <w:trPr/>
        <w:tc>
          <w:tcPr>
            <w:tcW w:w="4428"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sz w:val="20"/>
              </w:rPr>
            </w:pPr>
            <w:r>
              <w:rPr>
                <w:rFonts w:cs="Arial" w:ascii="Arial" w:hAnsi="Arial"/>
                <w:sz w:val="20"/>
              </w:rPr>
            </w:r>
          </w:p>
        </w:tc>
        <w:tc>
          <w:tcPr>
            <w:tcW w:w="442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0"/>
              </w:rPr>
            </w:pPr>
            <w:r>
              <w:rPr>
                <w:rFonts w:cs="Arial" w:ascii="Arial" w:hAnsi="Arial"/>
                <w:sz w:val="20"/>
              </w:rPr>
              <w:t>At times, it seems like “the machine” or “the process” is driving the business.  Your people seem willing to help but can’t reverse or stop the system</w:t>
            </w:r>
          </w:p>
        </w:tc>
      </w:tr>
      <w:tr>
        <w:trPr/>
        <w:tc>
          <w:tcPr>
            <w:tcW w:w="4428"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sz w:val="20"/>
              </w:rPr>
            </w:pPr>
            <w:r>
              <w:rPr>
                <w:rFonts w:cs="Arial" w:ascii="Arial" w:hAnsi="Arial"/>
                <w:sz w:val="20"/>
              </w:rPr>
            </w:r>
          </w:p>
        </w:tc>
        <w:tc>
          <w:tcPr>
            <w:tcW w:w="442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0"/>
              </w:rPr>
            </w:pPr>
            <w:r>
              <w:rPr>
                <w:rFonts w:cs="Arial" w:ascii="Arial" w:hAnsi="Arial"/>
                <w:sz w:val="20"/>
              </w:rPr>
              <w:t>Our rep understands our needs but often appears unfriendly, bothered by our calls to his office.   Over the phone, we do not feel NNG is customer friendly.  I just wanted to convey our company’s perspective</w:t>
            </w:r>
          </w:p>
        </w:tc>
      </w:tr>
      <w:tr>
        <w:trPr/>
        <w:tc>
          <w:tcPr>
            <w:tcW w:w="4428"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sz w:val="20"/>
              </w:rPr>
            </w:pPr>
            <w:r>
              <w:rPr>
                <w:rFonts w:cs="Arial" w:ascii="Arial" w:hAnsi="Arial"/>
                <w:sz w:val="20"/>
              </w:rPr>
            </w:r>
          </w:p>
        </w:tc>
        <w:tc>
          <w:tcPr>
            <w:tcW w:w="442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0"/>
              </w:rPr>
            </w:pPr>
            <w:r>
              <w:rPr>
                <w:rFonts w:cs="Arial" w:ascii="Arial" w:hAnsi="Arial"/>
                <w:sz w:val="20"/>
              </w:rPr>
              <w:t>Difficult to reach reps – lack of knowledge when you finally get someone on the phone.  Example:  Asking a rep what certain codes stand for an they don’t know the answer or where to find it.  They are typically very professional but don’t know the system as well as they should</w:t>
            </w:r>
          </w:p>
        </w:tc>
      </w:tr>
      <w:tr>
        <w:trPr/>
        <w:tc>
          <w:tcPr>
            <w:tcW w:w="442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0"/>
              </w:rPr>
            </w:pPr>
            <w:r>
              <w:rPr>
                <w:rFonts w:cs="Arial" w:ascii="Arial" w:hAnsi="Arial"/>
                <w:sz w:val="20"/>
              </w:rPr>
              <w:t>Capacity</w:t>
            </w:r>
          </w:p>
        </w:tc>
        <w:tc>
          <w:tcPr>
            <w:tcW w:w="442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0"/>
              </w:rPr>
            </w:pPr>
            <w:r>
              <w:rPr>
                <w:rFonts w:cs="Arial" w:ascii="Arial" w:hAnsi="Arial"/>
                <w:sz w:val="20"/>
              </w:rPr>
              <w:t>Capacity availability at interconnects not always accurate or correct in Hot Tap</w:t>
            </w:r>
          </w:p>
        </w:tc>
      </w:tr>
      <w:tr>
        <w:trPr/>
        <w:tc>
          <w:tcPr>
            <w:tcW w:w="4428"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sz w:val="20"/>
              </w:rPr>
            </w:pPr>
            <w:r>
              <w:rPr>
                <w:rFonts w:cs="Arial" w:ascii="Arial" w:hAnsi="Arial"/>
                <w:sz w:val="20"/>
              </w:rPr>
            </w:r>
          </w:p>
        </w:tc>
        <w:tc>
          <w:tcPr>
            <w:tcW w:w="442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0"/>
              </w:rPr>
            </w:pPr>
            <w:r>
              <w:rPr>
                <w:rFonts w:cs="Arial" w:ascii="Arial" w:hAnsi="Arial"/>
                <w:sz w:val="20"/>
              </w:rPr>
              <w:t>Information on flow and capacity at various rec pts/interconnects seems to be timely and accurate</w:t>
            </w:r>
          </w:p>
        </w:tc>
      </w:tr>
      <w:tr>
        <w:trPr/>
        <w:tc>
          <w:tcPr>
            <w:tcW w:w="442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0"/>
              </w:rPr>
            </w:pPr>
            <w:r>
              <w:rPr>
                <w:rFonts w:cs="Arial" w:ascii="Arial" w:hAnsi="Arial"/>
                <w:sz w:val="20"/>
              </w:rPr>
              <w:t>Contract system</w:t>
            </w:r>
          </w:p>
        </w:tc>
        <w:tc>
          <w:tcPr>
            <w:tcW w:w="442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0"/>
              </w:rPr>
            </w:pPr>
            <w:r>
              <w:rPr>
                <w:rFonts w:cs="Arial" w:ascii="Arial" w:hAnsi="Arial"/>
                <w:sz w:val="20"/>
              </w:rPr>
              <w:t>Not dynamic enough to handle contracts with multiple expiration dates</w:t>
            </w:r>
          </w:p>
        </w:tc>
      </w:tr>
    </w:tbl>
    <w:p>
      <w:pPr>
        <w:pStyle w:val="Normal"/>
        <w:rPr>
          <w:rFonts w:ascii="Arial" w:hAnsi="Arial" w:cs="Arial"/>
        </w:rPr>
      </w:pPr>
      <w:r>
        <w:rPr>
          <w:rFonts w:cs="Arial" w:ascii="Arial" w:hAnsi="Arial"/>
        </w:rPr>
      </w:r>
    </w:p>
    <w:sectPr>
      <w:headerReference w:type="default" r:id="rId2"/>
      <w:type w:val="nextPage"/>
      <w:pgSz w:w="12240" w:h="15840"/>
      <w:pgMar w:left="1800" w:right="1800" w:gutter="0" w:header="72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t>NNG Winter Operations Meeting</w:t>
    </w:r>
  </w:p>
  <w:p>
    <w:pPr>
      <w:pStyle w:val="Header"/>
      <w:jc w:val="center"/>
      <w:rPr/>
    </w:pPr>
    <w:r>
      <w:rPr/>
      <w:t>Compilation of Written Customer Feedback</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5"/>
      <w:numFmt w:val="bullet"/>
      <w:lvlText w:val="-"/>
      <w:lvlJc w:val="start"/>
      <w:pPr>
        <w:tabs>
          <w:tab w:val="num" w:pos="615"/>
        </w:tabs>
        <w:ind w:start="615" w:hanging="360"/>
      </w:pPr>
      <w:rPr>
        <w:rFonts w:ascii="Times New Roman" w:hAnsi="Times New Roman" w:cs="Times New Roman" w:hint="default"/>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rFonts w:ascii="Times New Roman" w:hAnsi="Times New Roman" w:eastAsia="Times New Roman" w:cs="Times New Roman"/>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1z3">
    <w:name w:val="WW8Num1z3"/>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2001-09-14T14:34:00Z</dcterms:created>
  <dc:creator>bholmes</dc:creator>
  <dc:description/>
  <dc:language>en-CA</dc:language>
  <cp:lastModifiedBy>scorman</cp:lastModifiedBy>
  <cp:lastPrinted>2001-09-14T11:13:00Z</cp:lastPrinted>
  <dcterms:modified xsi:type="dcterms:W3CDTF">2001-09-14T14:45:00Z</dcterms:modified>
  <cp:revision>3</cp:revision>
  <dc:subject/>
  <dc:title>TMS</dc:title>
</cp:coreProperties>
</file>