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6"/>
        </w:rPr>
      </w:pPr>
      <w:r>
        <w:rPr>
          <w:sz w:val="36"/>
        </w:rPr>
        <w:t>IT Retention Equity Program</w:t>
      </w:r>
    </w:p>
    <w:p>
      <w:pPr>
        <w:pStyle w:val="Normal"/>
        <w:rPr>
          <w:b/>
          <w:sz w:val="36"/>
          <w:u w:val="single"/>
        </w:rPr>
      </w:pPr>
      <w:r>
        <w:rPr>
          <w:b/>
          <w:sz w:val="36"/>
          <w:u w:val="single"/>
        </w:rPr>
      </w:r>
    </w:p>
    <w:p>
      <w:pPr>
        <w:pStyle w:val="Normal"/>
        <w:rPr>
          <w:b/>
          <w:u w:val="single"/>
        </w:rPr>
      </w:pPr>
      <w:r>
        <w:rPr>
          <w:b/>
          <w:u w:val="single"/>
        </w:rPr>
      </w:r>
    </w:p>
    <w:p>
      <w:pPr>
        <w:pStyle w:val="Normal"/>
        <w:rPr>
          <w:b/>
          <w:u w:val="single"/>
        </w:rPr>
      </w:pPr>
      <w:r>
        <w:rPr>
          <w:b/>
          <w:u w:val="single"/>
        </w:rPr>
      </w:r>
    </w:p>
    <w:p>
      <w:pPr>
        <w:pStyle w:val="Normal"/>
        <w:rPr/>
      </w:pPr>
      <w:r>
        <w:rPr>
          <w:b/>
          <w:u w:val="single"/>
        </w:rPr>
        <w:t>HISTORY</w:t>
      </w:r>
      <w:r>
        <w:rPr/>
        <w:br/>
        <w:t>In September 1999, Watson Wyatt recommended an annual performance-based equity program for the North American IT organization (included ENA, Corporate, and GPG) as an initial step in implementing an overall compensation attraction and retention strategy for IT.  The program is separate from any AESOP, employment/non-compete agreements and/or new hire grants.  The 1999 Retention Equity, performance-based annual stock option levels were recommended as follows:</w:t>
      </w:r>
    </w:p>
    <w:p>
      <w:pPr>
        <w:pStyle w:val="Normal"/>
        <w:rPr/>
      </w:pPr>
      <w:r>
        <w:rPr/>
        <w:tab/>
        <w:tab/>
      </w:r>
      <w:r>
        <w:rPr>
          <w:b/>
          <w:u w:val="single"/>
        </w:rPr>
        <w:t>Job Level</w:t>
      </w:r>
      <w:r>
        <w:rPr>
          <w:b/>
        </w:rPr>
        <w:tab/>
        <w:tab/>
      </w:r>
      <w:r>
        <w:rPr>
          <w:b/>
          <w:u w:val="single"/>
        </w:rPr>
        <w:t>Face Value* of Target Grant</w:t>
      </w:r>
    </w:p>
    <w:p>
      <w:pPr>
        <w:pStyle w:val="Normal"/>
        <w:rPr/>
      </w:pPr>
      <w:r>
        <w:rPr/>
        <w:tab/>
        <w:tab/>
        <w:t>Sr. Director</w:t>
        <w:tab/>
        <w:tab/>
        <w:tab/>
        <w:t>75% of Base Pay</w:t>
      </w:r>
    </w:p>
    <w:p>
      <w:pPr>
        <w:pStyle w:val="Normal"/>
        <w:rPr/>
      </w:pPr>
      <w:r>
        <w:rPr/>
        <w:tab/>
        <w:tab/>
        <w:t>Director</w:t>
        <w:tab/>
        <w:tab/>
        <w:tab/>
        <w:tab/>
        <w:t>50% of Base Pay</w:t>
      </w:r>
    </w:p>
    <w:p>
      <w:pPr>
        <w:pStyle w:val="Normal"/>
        <w:rPr/>
      </w:pPr>
      <w:r>
        <w:rPr/>
        <w:tab/>
        <w:tab/>
        <w:t>Manager/Tech Consultant</w:t>
        <w:tab/>
        <w:tab/>
        <w:t>25% of Base Pay</w:t>
      </w:r>
    </w:p>
    <w:p>
      <w:pPr>
        <w:pStyle w:val="Normal"/>
        <w:rPr/>
      </w:pPr>
      <w:r>
        <w:rPr/>
        <w:tab/>
        <w:tab/>
        <w:t>Senior Professional</w:t>
        <w:tab/>
        <w:tab/>
        <w:t>13% of Base Pay</w:t>
      </w:r>
    </w:p>
    <w:p>
      <w:pPr>
        <w:pStyle w:val="Normal"/>
        <w:rPr/>
      </w:pPr>
      <w:r>
        <w:rPr/>
        <w:tab/>
        <w:tab/>
        <w:t>Professional</w:t>
        <w:tab/>
        <w:tab/>
        <w:tab/>
        <w:t>10% of Base Pay</w:t>
      </w:r>
    </w:p>
    <w:p>
      <w:pPr>
        <w:pStyle w:val="Normal"/>
        <w:rPr/>
      </w:pPr>
      <w:r>
        <w:rPr/>
        <w:tab/>
        <w:tab/>
        <w:t>Jr. Professional</w:t>
        <w:tab/>
        <w:tab/>
        <w:tab/>
        <w:t>No regular grants</w:t>
      </w:r>
    </w:p>
    <w:p>
      <w:pPr>
        <w:pStyle w:val="Normal"/>
        <w:rPr/>
      </w:pPr>
      <w:r>
        <w:rPr/>
        <w:tab/>
        <w:tab/>
        <w:tab/>
        <w:t>*Face Value = # Shares x Strike Price</w:t>
      </w:r>
    </w:p>
    <w:p>
      <w:pPr>
        <w:pStyle w:val="Normal"/>
        <w:rPr/>
      </w:pPr>
      <w:r>
        <w:rPr/>
        <w:tab/>
        <w:tab/>
      </w:r>
    </w:p>
    <w:p>
      <w:pPr>
        <w:pStyle w:val="Normal"/>
        <w:rPr/>
      </w:pPr>
      <w:r>
        <w:rPr/>
        <w:tab/>
        <w:tab/>
      </w:r>
      <w:r>
        <w:rPr>
          <w:b/>
          <w:u w:val="single"/>
        </w:rPr>
        <w:t>Target Grant amounts were based on performance ratings as follows:</w:t>
      </w:r>
    </w:p>
    <w:p>
      <w:pPr>
        <w:pStyle w:val="Normal"/>
        <w:rPr/>
      </w:pPr>
      <w:r>
        <w:rPr/>
        <w:tab/>
        <w:tab/>
        <w:t>Superior</w:t>
        <w:tab/>
        <w:tab/>
        <w:tab/>
        <w:tab/>
        <w:t>125% of Target</w:t>
      </w:r>
    </w:p>
    <w:p>
      <w:pPr>
        <w:pStyle w:val="Normal"/>
        <w:rPr/>
      </w:pPr>
      <w:r>
        <w:rPr/>
        <w:tab/>
        <w:tab/>
        <w:t>Excellent</w:t>
        <w:tab/>
        <w:tab/>
        <w:tab/>
        <w:t>100% of Target</w:t>
      </w:r>
    </w:p>
    <w:p>
      <w:pPr>
        <w:pStyle w:val="Normal"/>
        <w:rPr/>
      </w:pPr>
      <w:r>
        <w:rPr/>
        <w:tab/>
        <w:tab/>
        <w:t>Strong</w:t>
        <w:tab/>
        <w:tab/>
        <w:tab/>
        <w:tab/>
        <w:t xml:space="preserve">  75% of Target</w:t>
      </w:r>
    </w:p>
    <w:p>
      <w:pPr>
        <w:pStyle w:val="Normal"/>
        <w:rPr/>
      </w:pPr>
      <w:r>
        <w:rPr/>
        <w:tab/>
        <w:tab/>
        <w:t>Satisfactory</w:t>
        <w:tab/>
        <w:tab/>
        <w:tab/>
        <w:t xml:space="preserve">  50% of Target</w:t>
      </w:r>
    </w:p>
    <w:p>
      <w:pPr>
        <w:pStyle w:val="Normal"/>
        <w:rPr/>
      </w:pPr>
      <w:r>
        <w:rPr/>
      </w:r>
    </w:p>
    <w:p>
      <w:pPr>
        <w:pStyle w:val="Normal"/>
        <w:rPr/>
      </w:pPr>
      <w:r>
        <w:rPr/>
        <w:tab/>
        <w:tab/>
      </w:r>
      <w:r>
        <w:rPr>
          <w:b/>
          <w:u w:val="single"/>
        </w:rPr>
        <w:t>Vesting/Term:</w:t>
      </w:r>
    </w:p>
    <w:p>
      <w:pPr>
        <w:pStyle w:val="Normal"/>
        <w:rPr/>
      </w:pPr>
      <w:r>
        <w:rPr/>
        <w:tab/>
        <w:tab/>
        <w:t>20% upon date of grant, and 20% 1, 2, 3, &amp; 4 years from date of grant</w:t>
      </w:r>
    </w:p>
    <w:p>
      <w:pPr>
        <w:pStyle w:val="Normal"/>
        <w:rPr/>
      </w:pPr>
      <w:r>
        <w:rPr/>
        <w:tab/>
        <w:tab/>
        <w:t>10-year term</w:t>
      </w:r>
    </w:p>
    <w:p>
      <w:pPr>
        <w:pStyle w:val="Normal"/>
        <w:rPr/>
      </w:pPr>
      <w:r>
        <w:rPr/>
      </w:r>
    </w:p>
    <w:p>
      <w:pPr>
        <w:pStyle w:val="Normal"/>
        <w:rPr/>
      </w:pPr>
      <w:r>
        <w:rPr/>
      </w:r>
    </w:p>
    <w:p>
      <w:pPr>
        <w:pStyle w:val="Normal"/>
        <w:rPr/>
      </w:pPr>
      <w:r>
        <w:rPr/>
      </w:r>
    </w:p>
    <w:p>
      <w:pPr>
        <w:pStyle w:val="Heading1"/>
        <w:ind w:hanging="0" w:start="0"/>
        <w:rPr/>
      </w:pPr>
      <w:r>
        <w:rPr/>
        <w:t>METHODOLOGY for OCTOBER 1999 GRANTS</w:t>
      </w:r>
    </w:p>
    <w:p>
      <w:pPr>
        <w:pStyle w:val="Normal"/>
        <w:rPr/>
      </w:pPr>
      <w:r>
        <w:rPr/>
      </w:r>
    </w:p>
    <w:p>
      <w:pPr>
        <w:pStyle w:val="Normal"/>
        <w:rPr/>
      </w:pPr>
      <w:r>
        <w:rPr/>
        <w:t xml:space="preserve">To be eligible to be considered for an IT Retention Equity grant in October 1999, the employee had to perform professional Information Technology work and be assigned to Global Information Technology or to the Gas Pipeline Group.  </w:t>
      </w:r>
    </w:p>
    <w:p>
      <w:pPr>
        <w:pStyle w:val="Normal"/>
        <w:rPr/>
      </w:pPr>
      <w:r>
        <w:rPr/>
      </w:r>
    </w:p>
    <w:p>
      <w:pPr>
        <w:pStyle w:val="Normal"/>
        <w:rPr/>
      </w:pPr>
      <w:r>
        <w:rPr/>
        <w:t>The option matrix was based on job level and mid-year performance rating (see Attachment A).  An employee’s appropriate option matrix percentage (baseline) was multiplied by the employee’s annual base salary, then divided by a strike price of $42.87 for a 10-year term.  The actual strike price was $38.875 on 10/11/99 grant date and the Black-Scholes Value was $10.50 per option.  Attachment B indicates a conversion of the formulas used in 1999 to a model using the Black-Scholes Value.</w:t>
      </w:r>
    </w:p>
    <w:p>
      <w:pPr>
        <w:pStyle w:val="Normal"/>
        <w:rPr/>
      </w:pPr>
      <w:r>
        <w:rPr/>
      </w:r>
    </w:p>
    <w:p>
      <w:pPr>
        <w:pStyle w:val="Normal"/>
        <w:rPr/>
      </w:pPr>
      <w:r>
        <w:rPr/>
        <w:t xml:space="preserve">Other stock grants were not taken into consideration when determining an employee’s options under this program.  These options were to be separate from all other stock grants.  </w:t>
      </w:r>
    </w:p>
    <w:p>
      <w:pPr>
        <w:pStyle w:val="Normal"/>
        <w:rPr/>
      </w:pPr>
      <w:r>
        <w:rPr/>
      </w:r>
    </w:p>
    <w:p>
      <w:pPr>
        <w:pStyle w:val="Normal"/>
        <w:rPr/>
      </w:pPr>
      <w:r>
        <w:rPr/>
        <w:t>Employees hired up to the Compensation/Administrative Committee submission date were eligible to be considered for IT Retention Equity and the initial options considered were not prorated.</w:t>
      </w:r>
    </w:p>
    <w:p>
      <w:pPr>
        <w:pStyle w:val="Normal"/>
        <w:rPr/>
      </w:pPr>
      <w:r>
        <w:rPr/>
      </w:r>
    </w:p>
    <w:p>
      <w:pPr>
        <w:pStyle w:val="Normal"/>
        <w:rPr/>
      </w:pPr>
      <w:r>
        <w:rPr/>
        <w:t xml:space="preserve">The minimum amount of options requested for any employee who was approved for options was 100.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PROPOSAL for SEPTEMBER 2000 GRANTS</w:t>
      </w:r>
    </w:p>
    <w:p>
      <w:pPr>
        <w:pStyle w:val="Normal"/>
        <w:rPr/>
      </w:pPr>
      <w:r>
        <w:rPr/>
      </w:r>
    </w:p>
    <w:p>
      <w:pPr>
        <w:pStyle w:val="Normal"/>
        <w:rPr/>
      </w:pPr>
      <w:r>
        <w:rPr/>
        <w:t xml:space="preserve">For Enron to be competitive for the caliber of talent sought and to retain key talent, the compensation strategy and structure must blend the appropriate competitive positioning and mix of compensation of the Wall Street trading, High Technology and General Industry practices.  To emphasize Enron’s value on individual performance, the recommended program takes into account an employee’s performance rating.  The recommended option matrix is based on job level and mid-year performance rating (see Attachment C).  An employee’s appropriate option matrix percentage (baseline) is multiplied by the employee’s annual base salary to determine the stock option value.  For employees promoted mid-year 2000, the former job level is to be used to determine the initial recommended value.  Information Technology management may adjust an employee’s initial recommended option value up or down by 20%.  If it is necessary to adjust an employee’s initial recommended option value up or down by more than 20%, Information Technology management will need to provide detailed documentation for the adjustment reason to Information Technology’s VP of Human Resources.  The stock option value for all employees can not be greater than the initial total value based upon the matrix. </w:t>
      </w:r>
    </w:p>
    <w:p>
      <w:pPr>
        <w:pStyle w:val="Normal"/>
        <w:rPr/>
      </w:pPr>
      <w:r>
        <w:rPr/>
      </w:r>
    </w:p>
    <w:p>
      <w:pPr>
        <w:pStyle w:val="Normal"/>
        <w:rPr/>
      </w:pPr>
      <w:r>
        <w:rPr/>
        <w:t xml:space="preserve">To be eligible to be considered for an IT Retention Equity grant in September 2000, the employee must perform professional Information Technology work, at a Specialist to Senior Director level, and be assigned to Global Information Technology or to the Gas Pipeline Group.  </w:t>
      </w:r>
    </w:p>
    <w:p>
      <w:pPr>
        <w:pStyle w:val="Header"/>
        <w:tabs>
          <w:tab w:val="clear" w:pos="4320"/>
          <w:tab w:val="clear" w:pos="8640"/>
        </w:tabs>
        <w:rPr/>
      </w:pPr>
      <w:r>
        <w:rPr/>
      </w:r>
    </w:p>
    <w:p>
      <w:pPr>
        <w:pStyle w:val="Normal"/>
        <w:rPr/>
      </w:pPr>
      <w:r>
        <w:rPr/>
        <w:t>Other stock grants, excluding grants made to new-hires hired in 2000 from EDS, are not to be taken into consideration when determining an employee’s options under this program. For employees who were hired from EDS in 2000 will have their values offset by the value received upon hire.</w:t>
      </w:r>
    </w:p>
    <w:p>
      <w:pPr>
        <w:pStyle w:val="Normal"/>
        <w:rPr/>
      </w:pPr>
      <w:r>
        <w:rPr/>
      </w:r>
    </w:p>
    <w:p>
      <w:pPr>
        <w:pStyle w:val="Normal"/>
        <w:rPr/>
      </w:pPr>
      <w:r>
        <w:rPr/>
        <w:t>Employees with a hire date on or before August 7, 2000 (11 days before the Compensation/</w:t>
      </w:r>
    </w:p>
    <w:p>
      <w:pPr>
        <w:pStyle w:val="Normal"/>
        <w:rPr/>
      </w:pPr>
      <w:r>
        <w:rPr/>
        <w:t xml:space="preserve">Administrative Committee submission date), are eligible to be considered for the September 2000 IT Retention Equity and the initial options considered will not to be prorated. </w:t>
      </w:r>
    </w:p>
    <w:p>
      <w:pPr>
        <w:pStyle w:val="Normal"/>
        <w:rPr/>
      </w:pPr>
      <w:r>
        <w:rPr/>
      </w:r>
    </w:p>
    <w:p>
      <w:pPr>
        <w:pStyle w:val="BodyText"/>
        <w:rPr>
          <w:b w:val="false"/>
        </w:rPr>
      </w:pPr>
      <w:r>
        <w:rPr>
          <w:b w:val="false"/>
        </w:rPr>
        <w:t xml:space="preserve">An employee who is on non-FMLA Leave Of Absence and is not expected to return to work, will not be considered eligible for options under this program.  However, if the employee returns to work on active status on or before December 15, 2000, the employee will be considered for options under this program at the earliest possible date. </w:t>
      </w:r>
    </w:p>
    <w:p>
      <w:pPr>
        <w:pStyle w:val="Normal"/>
        <w:rPr>
          <w:b/>
        </w:rPr>
      </w:pPr>
      <w:r>
        <w:rPr>
          <w:b/>
        </w:rPr>
      </w:r>
    </w:p>
    <w:p>
      <w:pPr>
        <w:pStyle w:val="Normal"/>
        <w:rPr/>
      </w:pPr>
      <w:r>
        <w:rPr/>
        <w:t xml:space="preserve">The minimum amount of value requested for an employee approved for options under this program is $750. </w:t>
      </w:r>
    </w:p>
    <w:p>
      <w:pPr>
        <w:pStyle w:val="Normal"/>
        <w:rPr/>
      </w:pPr>
      <w:r>
        <w:rPr/>
      </w:r>
    </w:p>
    <w:p>
      <w:pPr>
        <w:pStyle w:val="Normal"/>
        <w:rPr/>
      </w:pPr>
      <w:r>
        <w:rPr/>
        <w:t>In the market, options granted recently to Information Technology professionals have a faster vesting schedule than those granted in the past.  Therefore, the options granted under this program are recommended to vest 25% upon date of grant and 25% 1, 2, and 3 years from date of grant with a 7-year term.</w:t>
      </w:r>
    </w:p>
    <w:p>
      <w:pPr>
        <w:pStyle w:val="Normal"/>
        <w:rPr/>
      </w:pPr>
      <w:r>
        <w:rPr/>
      </w:r>
    </w:p>
    <w:p>
      <w:pPr>
        <w:pStyle w:val="Normal"/>
        <w:rPr/>
      </w:pPr>
      <w:r>
        <w:rPr/>
        <w:t xml:space="preserve">Employees who are eligible for the IT Retention Equity program are not eligible for funding or allocation from Enron’s KEYSOP program.  </w:t>
        <w:br/>
      </w:r>
    </w:p>
    <w:p>
      <w:pPr>
        <w:pStyle w:val="Normal"/>
        <w:rPr/>
      </w:pPr>
      <w:r>
        <w:rPr/>
        <w:t>The IT Retention Equity program is recommended to be an annual program.  Each year’s option matrix will be based on market information and a review of the current year’s KEYSOP program.  The IT Retention Equity program is designed to have the options granted in September so there is a potential monetary amount awarded to eligible Information Technology professional employees several times throughout the year as follows:</w:t>
      </w:r>
    </w:p>
    <w:p>
      <w:pPr>
        <w:pStyle w:val="Normal"/>
        <w:ind w:firstLine="720" w:start="720" w:end="0"/>
        <w:rPr/>
      </w:pPr>
      <w:r>
        <w:rPr/>
        <w:t>Early February</w:t>
        <w:tab/>
        <w:t>Annual bonus awarded</w:t>
      </w:r>
    </w:p>
    <w:p>
      <w:pPr>
        <w:pStyle w:val="Normal"/>
        <w:ind w:firstLine="720" w:start="720" w:end="0"/>
        <w:rPr/>
      </w:pPr>
      <w:r>
        <w:rPr/>
        <w:t>June 30</w:t>
        <w:tab/>
        <w:tab/>
        <w:t>Enron Options vests</w:t>
      </w:r>
    </w:p>
    <w:p>
      <w:pPr>
        <w:pStyle w:val="Normal"/>
        <w:ind w:start="1440" w:end="0"/>
        <w:rPr/>
      </w:pPr>
      <w:r>
        <w:rPr/>
        <w:t>Early September</w:t>
        <w:tab/>
        <w:t>IT Retention Equity granted/vests</w:t>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/mnt/main-storage/datasets/enron-docs/doc/Write_Up_and_Process.doc</w:t>
    </w:r>
    <w:r>
      <w:rPr>
        <w:sz w:val="16"/>
        <w:lang w:eastAsia="en-US"/>
      </w:rPr>
      <w:fldChar w:fldCharType="end"/>
    </w:r>
    <w:r>
      <w:rPr>
        <w:sz w:val="16"/>
        <w:lang w:eastAsia="en-US"/>
      </w:rPr>
      <w:t xml:space="preserve">     </w:t>
    </w:r>
    <w:r>
      <w:rPr>
        <w:sz w:val="16"/>
        <w:lang w:eastAsia="en-US"/>
      </w:rPr>
      <w:t>7/25/00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ind w:hanging="0" w:start="360" w:end="0"/>
      <w:outlineLvl w:val="1"/>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2000-07-27T11:53:00Z</dcterms:created>
  <dc:creator>koquinn</dc:creator>
  <dc:description/>
  <dc:language>en-CA</dc:language>
  <cp:lastModifiedBy>koquinn</cp:lastModifiedBy>
  <cp:lastPrinted>2000-07-24T16:23:00Z</cp:lastPrinted>
  <dcterms:modified xsi:type="dcterms:W3CDTF">2000-07-27T11:53:00Z</dcterms:modified>
  <cp:revision>3</cp:revision>
  <dc:subject/>
  <dc:title>In September 1999, Watson Wyatt recommended an annual performance-based equity program for the North American IT organization as an initial step in implementing an overall compensation attraction and retention strategy for IT</dc:title>
</cp:coreProperties>
</file>