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8748"/>
      </w:tblGrid>
      <w:tr>
        <w:trPr/>
        <w:tc>
          <w:tcPr>
            <w:tcW w:w="8748" w:type="dxa"/>
            <w:tcBorders/>
          </w:tcPr>
          <w:p>
            <w:pPr>
              <w:pStyle w:val="Normal"/>
              <w:tabs>
                <w:tab w:val="clear" w:pos="720"/>
                <w:tab w:val="left" w:pos="2412" w:leader="none"/>
              </w:tabs>
              <w:ind w:start="1962" w:end="0"/>
              <w:jc w:val="end"/>
              <w:rPr/>
            </w:pPr>
            <w:r>
              <w:drawing>
                <wp:anchor behindDoc="0" distT="0" distB="0" distL="114935" distR="114935" simplePos="0" locked="0" layoutInCell="0" allowOverlap="1" relativeHeight="2">
                  <wp:simplePos x="0" y="0"/>
                  <wp:positionH relativeFrom="margin">
                    <wp:posOffset>-502920</wp:posOffset>
                  </wp:positionH>
                  <wp:positionV relativeFrom="paragraph">
                    <wp:posOffset>-34290</wp:posOffset>
                  </wp:positionV>
                  <wp:extent cx="822960" cy="82296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2960" cy="822960"/>
                          </a:xfrm>
                          <a:prstGeom prst="rect">
                            <a:avLst/>
                          </a:prstGeom>
                          <a:noFill/>
                        </pic:spPr>
                      </pic:pic>
                    </a:graphicData>
                  </a:graphic>
                </wp:anchor>
              </w:drawing>
            </w:r>
            <w:r>
              <w:rPr/>
              <w:tab/>
              <w:tab/>
            </w: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tc>
      </w:tr>
    </w:tbl>
    <w:p>
      <w:pPr>
        <w:pStyle w:val="BodyText"/>
        <w:rPr>
          <w:sz w:val="20"/>
        </w:rPr>
      </w:pPr>
      <w:r>
        <w:rPr>
          <w:sz w:val="20"/>
        </w:rPr>
      </w:r>
    </w:p>
    <w:p>
      <w:pPr>
        <w:pStyle w:val="Heading1"/>
        <w:ind w:hanging="0" w:start="0"/>
        <w:rPr>
          <w:sz w:val="20"/>
        </w:rPr>
      </w:pPr>
      <w:r>
        <w:rPr>
          <w:sz w:val="20"/>
        </w:rPr>
        <w:t xml:space="preserve">CONFIRMATION </w:t>
      </w:r>
    </w:p>
    <w:p>
      <w:pPr>
        <w:pStyle w:val="Normal"/>
        <w:tabs>
          <w:tab w:val="clear" w:pos="720"/>
          <w:tab w:val="left" w:pos="6480" w:leader="none"/>
        </w:tabs>
        <w:jc w:val="center"/>
        <w:rPr>
          <w:b/>
        </w:rPr>
      </w:pPr>
      <w:r>
        <w:rPr>
          <w:b/>
        </w:rPr>
        <w:t>(SWAP)</w:t>
      </w:r>
    </w:p>
    <w:p>
      <w:pPr>
        <w:pStyle w:val="Normal"/>
        <w:tabs>
          <w:tab w:val="clear" w:pos="720"/>
          <w:tab w:val="left" w:pos="6480" w:leader="none"/>
        </w:tabs>
        <w:rPr>
          <w:b/>
        </w:rPr>
      </w:pPr>
      <w:r>
        <w:rPr>
          <w:b/>
        </w:rPr>
      </w:r>
    </w:p>
    <w:p>
      <w:pPr>
        <w:pStyle w:val="Normal"/>
        <w:tabs>
          <w:tab w:val="left" w:pos="720" w:leader="none"/>
          <w:tab w:val="left" w:pos="3240" w:leader="none"/>
        </w:tabs>
        <w:ind w:start="720" w:end="0"/>
        <w:rPr>
          <w:color w:val="FF0000"/>
        </w:rPr>
      </w:pPr>
      <w:r>
        <w:rPr/>
        <w:t>Date:</w:t>
        <w:tab/>
        <w:t>January 17, 2001</w:t>
      </w:r>
    </w:p>
    <w:p>
      <w:pPr>
        <w:pStyle w:val="Normal"/>
        <w:tabs>
          <w:tab w:val="clear" w:pos="720"/>
          <w:tab w:val="left" w:pos="3240" w:leader="none"/>
          <w:tab w:val="left" w:pos="6480" w:leader="none"/>
        </w:tabs>
        <w:ind w:start="720" w:end="0"/>
        <w:rPr/>
      </w:pPr>
      <w:r>
        <w:rPr/>
        <w:t>To:</w:t>
        <w:tab/>
        <w:t>The Worthington Steel Company (OH) ("Counterparty")</w:t>
      </w:r>
    </w:p>
    <w:p>
      <w:pPr>
        <w:pStyle w:val="Normal"/>
        <w:tabs>
          <w:tab w:val="clear" w:pos="720"/>
          <w:tab w:val="left" w:pos="3240" w:leader="none"/>
          <w:tab w:val="left" w:pos="6480" w:leader="none"/>
        </w:tabs>
        <w:ind w:start="720" w:end="0"/>
        <w:rPr/>
      </w:pPr>
      <w:r>
        <w:rPr/>
        <w:t>Attention:</w:t>
        <w:tab/>
        <w:t>Randal Rombeiro</w:t>
      </w:r>
    </w:p>
    <w:p>
      <w:pPr>
        <w:pStyle w:val="Normal"/>
        <w:tabs>
          <w:tab w:val="clear" w:pos="720"/>
          <w:tab w:val="left" w:pos="3240" w:leader="none"/>
          <w:tab w:val="left" w:pos="6480" w:leader="none"/>
        </w:tabs>
        <w:ind w:start="720" w:end="0"/>
        <w:rPr>
          <w:color w:val="FF0000"/>
        </w:rPr>
      </w:pPr>
      <w:r>
        <w:rPr/>
        <w:t>Phone No.:</w:t>
        <w:tab/>
        <w:t>(614) 840-3574</w:t>
      </w:r>
    </w:p>
    <w:p>
      <w:pPr>
        <w:pStyle w:val="Normal"/>
        <w:tabs>
          <w:tab w:val="clear" w:pos="720"/>
          <w:tab w:val="left" w:pos="3240" w:leader="none"/>
          <w:tab w:val="left" w:pos="6480" w:leader="none"/>
        </w:tabs>
        <w:ind w:start="720" w:end="0"/>
        <w:rPr>
          <w:color w:val="FF0000"/>
        </w:rPr>
      </w:pPr>
      <w:r>
        <w:rPr/>
        <w:t>Fax No.:</w:t>
        <w:tab/>
        <w:t>(614) 438-7508</w:t>
      </w:r>
    </w:p>
    <w:p>
      <w:pPr>
        <w:pStyle w:val="Normal"/>
        <w:tabs>
          <w:tab w:val="clear" w:pos="720"/>
          <w:tab w:val="left" w:pos="3240" w:leader="none"/>
          <w:tab w:val="left" w:pos="6480" w:leader="none"/>
        </w:tabs>
        <w:ind w:start="720" w:end="0"/>
        <w:rPr/>
      </w:pPr>
      <w:r>
        <w:rPr/>
        <w:t>From:</w:t>
        <w:tab/>
        <w:t xml:space="preserve">Enron North America Corp.   (“ENA”) </w:t>
      </w:r>
    </w:p>
    <w:p>
      <w:pPr>
        <w:pStyle w:val="Normal"/>
        <w:tabs>
          <w:tab w:val="clear" w:pos="720"/>
          <w:tab w:val="left" w:pos="3240" w:leader="none"/>
          <w:tab w:val="left" w:pos="6480" w:leader="none"/>
        </w:tabs>
        <w:ind w:start="720" w:end="0"/>
        <w:rPr/>
      </w:pPr>
      <w:r>
        <w:rPr/>
        <w:t>Re:</w:t>
        <w:tab/>
        <w:t xml:space="preserve">Commodity Swap Deal No. </w:t>
      </w:r>
      <w:r>
        <w:rPr>
          <w:color w:val="FF0000"/>
        </w:rPr>
        <w:t>&lt;&lt;Deal No.&gt;&gt;</w:t>
      </w:r>
    </w:p>
    <w:p>
      <w:pPr>
        <w:pStyle w:val="Normal"/>
        <w:tabs>
          <w:tab w:val="clear" w:pos="720"/>
          <w:tab w:val="left" w:pos="2160" w:leader="none"/>
          <w:tab w:val="left" w:pos="6480" w:leader="none"/>
        </w:tabs>
        <w:ind w:start="-720" w:end="0"/>
        <w:rPr/>
      </w:pPr>
      <w:r>
        <w:rPr/>
      </w:r>
    </w:p>
    <w:p>
      <w:pPr>
        <w:pStyle w:val="BodyTextIndent"/>
        <w:rPr/>
      </w:pPr>
      <w:r>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pPr>
      <w:r>
        <w:rPr/>
      </w:r>
    </w:p>
    <w:p>
      <w:pPr>
        <w:pStyle w:val="BodyTextIndent"/>
        <w:rPr>
          <w:b/>
        </w:rPr>
      </w:pPr>
      <w:r>
        <w:rPr>
          <w:b/>
        </w:rPr>
        <w:t>General Terms:</w:t>
        <w:tab/>
      </w:r>
    </w:p>
    <w:p>
      <w:pPr>
        <w:pStyle w:val="BodyTextIndent"/>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tabs>
                <w:tab w:val="clear" w:pos="720"/>
                <w:tab w:val="left" w:pos="1332" w:leader="none"/>
                <w:tab w:val="left" w:pos="1512" w:leader="none"/>
              </w:tabs>
              <w:rPr/>
            </w:pPr>
            <w:r>
              <w:rPr/>
              <w:t>Ton, Net Ton:</w:t>
            </w:r>
          </w:p>
        </w:tc>
        <w:tc>
          <w:tcPr>
            <w:tcW w:w="4428" w:type="dxa"/>
            <w:tcBorders/>
          </w:tcPr>
          <w:p>
            <w:pPr>
              <w:pStyle w:val="Normal"/>
              <w:tabs>
                <w:tab w:val="clear" w:pos="720"/>
                <w:tab w:val="left" w:pos="1332" w:leader="none"/>
                <w:tab w:val="left" w:pos="1512" w:leader="none"/>
              </w:tabs>
              <w:rPr/>
            </w:pPr>
            <w:r>
              <w:rPr/>
              <w:t>The terms “Ton” and “Net Ton” shall both refer to 2,000 U.S. Pounds</w:t>
            </w:r>
          </w:p>
          <w:p>
            <w:pPr>
              <w:pStyle w:val="Normal"/>
              <w:tabs>
                <w:tab w:val="clear" w:pos="720"/>
                <w:tab w:val="left" w:pos="1332" w:leader="none"/>
                <w:tab w:val="left" w:pos="1512" w:leader="none"/>
              </w:tabs>
              <w:rPr/>
            </w:pPr>
            <w:r>
              <w:rPr/>
            </w:r>
          </w:p>
        </w:tc>
      </w:tr>
      <w:tr>
        <w:trPr/>
        <w:tc>
          <w:tcPr>
            <w:tcW w:w="4428" w:type="dxa"/>
            <w:tcBorders/>
          </w:tcPr>
          <w:p>
            <w:pPr>
              <w:pStyle w:val="Normal"/>
              <w:tabs>
                <w:tab w:val="clear" w:pos="720"/>
                <w:tab w:val="left" w:pos="1332" w:leader="none"/>
                <w:tab w:val="left" w:pos="1512" w:leader="none"/>
              </w:tabs>
              <w:rPr/>
            </w:pPr>
            <w:r>
              <w:rPr/>
              <w:t>Total Notional Quantity:</w:t>
            </w:r>
          </w:p>
        </w:tc>
        <w:tc>
          <w:tcPr>
            <w:tcW w:w="4428" w:type="dxa"/>
            <w:tcBorders/>
          </w:tcPr>
          <w:p>
            <w:pPr>
              <w:pStyle w:val="Normal"/>
              <w:tabs>
                <w:tab w:val="clear" w:pos="720"/>
                <w:tab w:val="left" w:pos="1332" w:leader="none"/>
                <w:tab w:val="left" w:pos="1512" w:leader="none"/>
              </w:tabs>
              <w:rPr/>
            </w:pPr>
            <w:r>
              <w:rPr/>
              <w:t>240,000</w:t>
              <w:tab/>
              <w:t>Net Tons</w:t>
            </w:r>
          </w:p>
          <w:p>
            <w:pPr>
              <w:pStyle w:val="Normal"/>
              <w:tabs>
                <w:tab w:val="clear" w:pos="720"/>
                <w:tab w:val="left" w:pos="1332" w:leader="none"/>
                <w:tab w:val="left" w:pos="1512" w:leader="none"/>
              </w:tabs>
              <w:rPr/>
            </w:pPr>
            <w:r>
              <w:rPr/>
            </w:r>
          </w:p>
        </w:tc>
      </w:tr>
      <w:tr>
        <w:trPr/>
        <w:tc>
          <w:tcPr>
            <w:tcW w:w="4428" w:type="dxa"/>
            <w:tcBorders/>
          </w:tcPr>
          <w:p>
            <w:pPr>
              <w:pStyle w:val="Normal"/>
              <w:tabs>
                <w:tab w:val="clear" w:pos="720"/>
                <w:tab w:val="left" w:pos="1332" w:leader="none"/>
                <w:tab w:val="left" w:pos="1512" w:leader="none"/>
              </w:tabs>
              <w:rPr/>
            </w:pPr>
            <w:r>
              <w:rPr/>
              <w:t>Notional Quantity per Determination Period:</w:t>
            </w:r>
          </w:p>
        </w:tc>
        <w:tc>
          <w:tcPr>
            <w:tcW w:w="4428" w:type="dxa"/>
            <w:tcBorders/>
          </w:tcPr>
          <w:p>
            <w:pPr>
              <w:pStyle w:val="Normal"/>
              <w:tabs>
                <w:tab w:val="clear" w:pos="720"/>
                <w:tab w:val="left" w:pos="1332" w:leader="none"/>
                <w:tab w:val="left" w:pos="1512" w:leader="none"/>
              </w:tabs>
              <w:rPr/>
            </w:pPr>
            <w:r>
              <w:rPr/>
              <w:t>20,000</w:t>
              <w:tab/>
              <w:t>Net Tons</w:t>
            </w:r>
          </w:p>
          <w:p>
            <w:pPr>
              <w:pStyle w:val="Normal"/>
              <w:tabs>
                <w:tab w:val="clear" w:pos="720"/>
                <w:tab w:val="left" w:pos="1332" w:leader="none"/>
                <w:tab w:val="left" w:pos="1512" w:leader="none"/>
              </w:tabs>
              <w:rPr/>
            </w:pPr>
            <w:r>
              <w:rPr/>
            </w:r>
          </w:p>
        </w:tc>
      </w:tr>
      <w:tr>
        <w:trPr/>
        <w:tc>
          <w:tcPr>
            <w:tcW w:w="4428" w:type="dxa"/>
            <w:tcBorders/>
          </w:tcPr>
          <w:p>
            <w:pPr>
              <w:pStyle w:val="Normal"/>
              <w:tabs>
                <w:tab w:val="clear" w:pos="720"/>
                <w:tab w:val="left" w:pos="1332" w:leader="none"/>
                <w:tab w:val="left" w:pos="1512" w:leader="none"/>
              </w:tabs>
              <w:rPr/>
            </w:pPr>
            <w:r>
              <w:rPr/>
              <w:t>Commodity:</w:t>
            </w:r>
          </w:p>
        </w:tc>
        <w:tc>
          <w:tcPr>
            <w:tcW w:w="4428" w:type="dxa"/>
            <w:tcBorders/>
          </w:tcPr>
          <w:p>
            <w:pPr>
              <w:pStyle w:val="Normal"/>
              <w:tabs>
                <w:tab w:val="clear" w:pos="720"/>
                <w:tab w:val="left" w:pos="1332" w:leader="none"/>
                <w:tab w:val="left" w:pos="1512" w:leader="none"/>
              </w:tabs>
              <w:rPr/>
            </w:pPr>
            <w:r>
              <w:rPr/>
              <w:t>Hot Rolled Steel Sheet (Midwest)</w:t>
            </w:r>
          </w:p>
          <w:p>
            <w:pPr>
              <w:pStyle w:val="Normal"/>
              <w:tabs>
                <w:tab w:val="clear" w:pos="720"/>
                <w:tab w:val="left" w:pos="1332" w:leader="none"/>
                <w:tab w:val="left" w:pos="1512" w:leader="none"/>
              </w:tabs>
              <w:rPr/>
            </w:pPr>
            <w:r>
              <w:rPr/>
            </w:r>
          </w:p>
        </w:tc>
      </w:tr>
      <w:tr>
        <w:trPr/>
        <w:tc>
          <w:tcPr>
            <w:tcW w:w="4428" w:type="dxa"/>
            <w:tcBorders/>
          </w:tcPr>
          <w:p>
            <w:pPr>
              <w:pStyle w:val="Normal"/>
              <w:tabs>
                <w:tab w:val="clear" w:pos="720"/>
                <w:tab w:val="left" w:pos="1332" w:leader="none"/>
                <w:tab w:val="left" w:pos="1512" w:leader="none"/>
              </w:tabs>
              <w:rPr/>
            </w:pPr>
            <w:r>
              <w:rPr/>
              <w:t>Commodity Unit:</w:t>
            </w:r>
          </w:p>
        </w:tc>
        <w:tc>
          <w:tcPr>
            <w:tcW w:w="4428" w:type="dxa"/>
            <w:tcBorders/>
          </w:tcPr>
          <w:p>
            <w:pPr>
              <w:pStyle w:val="Normal"/>
              <w:tabs>
                <w:tab w:val="clear" w:pos="720"/>
                <w:tab w:val="left" w:pos="1332" w:leader="none"/>
                <w:tab w:val="left" w:pos="1512" w:leader="none"/>
              </w:tabs>
              <w:rPr/>
            </w:pPr>
            <w:r>
              <w:rPr/>
              <w:t>Net Ton</w:t>
            </w:r>
          </w:p>
          <w:p>
            <w:pPr>
              <w:pStyle w:val="Normal"/>
              <w:tabs>
                <w:tab w:val="clear" w:pos="720"/>
                <w:tab w:val="left" w:pos="1332" w:leader="none"/>
                <w:tab w:val="left" w:pos="1512" w:leader="none"/>
              </w:tabs>
              <w:rPr/>
            </w:pPr>
            <w:r>
              <w:rPr/>
            </w:r>
          </w:p>
        </w:tc>
      </w:tr>
      <w:tr>
        <w:trPr/>
        <w:tc>
          <w:tcPr>
            <w:tcW w:w="4428" w:type="dxa"/>
            <w:tcBorders/>
          </w:tcPr>
          <w:p>
            <w:pPr>
              <w:pStyle w:val="Normal"/>
              <w:tabs>
                <w:tab w:val="clear" w:pos="720"/>
                <w:tab w:val="left" w:pos="1332" w:leader="none"/>
                <w:tab w:val="left" w:pos="1512" w:leader="none"/>
              </w:tabs>
              <w:rPr/>
            </w:pPr>
            <w:r>
              <w:rPr/>
              <w:t>Trade Date:</w:t>
            </w:r>
          </w:p>
        </w:tc>
        <w:tc>
          <w:tcPr>
            <w:tcW w:w="4428" w:type="dxa"/>
            <w:tcBorders/>
          </w:tcPr>
          <w:p>
            <w:pPr>
              <w:pStyle w:val="Normal"/>
              <w:tabs>
                <w:tab w:val="clear" w:pos="720"/>
                <w:tab w:val="left" w:pos="1332" w:leader="none"/>
                <w:tab w:val="left" w:pos="1512" w:leader="none"/>
              </w:tabs>
              <w:rPr/>
            </w:pPr>
            <w:r>
              <w:rPr/>
              <w:t>January 16, 2001</w:t>
            </w:r>
          </w:p>
          <w:p>
            <w:pPr>
              <w:pStyle w:val="Normal"/>
              <w:tabs>
                <w:tab w:val="clear" w:pos="720"/>
                <w:tab w:val="left" w:pos="1332" w:leader="none"/>
                <w:tab w:val="left" w:pos="1512" w:leader="none"/>
              </w:tabs>
              <w:rPr/>
            </w:pPr>
            <w:r>
              <w:rPr/>
            </w:r>
          </w:p>
        </w:tc>
      </w:tr>
      <w:tr>
        <w:trPr/>
        <w:tc>
          <w:tcPr>
            <w:tcW w:w="4428" w:type="dxa"/>
            <w:tcBorders/>
          </w:tcPr>
          <w:p>
            <w:pPr>
              <w:pStyle w:val="Normal"/>
              <w:tabs>
                <w:tab w:val="clear" w:pos="720"/>
                <w:tab w:val="left" w:pos="1332" w:leader="none"/>
                <w:tab w:val="left" w:pos="1512" w:leader="none"/>
              </w:tabs>
              <w:rPr/>
            </w:pPr>
            <w:r>
              <w:rPr/>
              <w:t>Effective Date:</w:t>
            </w:r>
          </w:p>
        </w:tc>
        <w:tc>
          <w:tcPr>
            <w:tcW w:w="4428" w:type="dxa"/>
            <w:tcBorders/>
          </w:tcPr>
          <w:p>
            <w:pPr>
              <w:pStyle w:val="Normal"/>
              <w:tabs>
                <w:tab w:val="clear" w:pos="720"/>
                <w:tab w:val="left" w:pos="1332" w:leader="none"/>
                <w:tab w:val="left" w:pos="1512" w:leader="none"/>
              </w:tabs>
              <w:rPr/>
            </w:pPr>
            <w:r>
              <w:rPr/>
              <w:t>February 1, 2001</w:t>
            </w:r>
          </w:p>
          <w:p>
            <w:pPr>
              <w:pStyle w:val="Normal"/>
              <w:tabs>
                <w:tab w:val="clear" w:pos="720"/>
                <w:tab w:val="left" w:pos="1332" w:leader="none"/>
                <w:tab w:val="left" w:pos="1512" w:leader="none"/>
              </w:tabs>
              <w:rPr/>
            </w:pPr>
            <w:r>
              <w:rPr/>
            </w:r>
          </w:p>
        </w:tc>
      </w:tr>
      <w:tr>
        <w:trPr/>
        <w:tc>
          <w:tcPr>
            <w:tcW w:w="4428" w:type="dxa"/>
            <w:tcBorders/>
          </w:tcPr>
          <w:p>
            <w:pPr>
              <w:pStyle w:val="Normal"/>
              <w:tabs>
                <w:tab w:val="clear" w:pos="720"/>
                <w:tab w:val="left" w:pos="1332" w:leader="none"/>
                <w:tab w:val="left" w:pos="1512" w:leader="none"/>
              </w:tabs>
              <w:rPr/>
            </w:pPr>
            <w:r>
              <w:rPr/>
              <w:t>Termination Date:</w:t>
            </w:r>
          </w:p>
        </w:tc>
        <w:tc>
          <w:tcPr>
            <w:tcW w:w="4428" w:type="dxa"/>
            <w:tcBorders/>
          </w:tcPr>
          <w:p>
            <w:pPr>
              <w:pStyle w:val="Normal"/>
              <w:tabs>
                <w:tab w:val="clear" w:pos="720"/>
                <w:tab w:val="left" w:pos="1332" w:leader="none"/>
                <w:tab w:val="left" w:pos="1512" w:leader="none"/>
              </w:tabs>
              <w:rPr/>
            </w:pPr>
            <w:r>
              <w:rPr/>
              <w:t>January 31, 2002</w:t>
            </w:r>
          </w:p>
          <w:p>
            <w:pPr>
              <w:pStyle w:val="Normal"/>
              <w:tabs>
                <w:tab w:val="clear" w:pos="720"/>
                <w:tab w:val="left" w:pos="1332" w:leader="none"/>
                <w:tab w:val="left" w:pos="1512" w:leader="none"/>
              </w:tabs>
              <w:rPr/>
            </w:pPr>
            <w:r>
              <w:rPr/>
            </w:r>
          </w:p>
        </w:tc>
      </w:tr>
      <w:tr>
        <w:trPr/>
        <w:tc>
          <w:tcPr>
            <w:tcW w:w="4428" w:type="dxa"/>
            <w:tcBorders/>
          </w:tcPr>
          <w:p>
            <w:pPr>
              <w:pStyle w:val="Normal"/>
              <w:snapToGrid w:val="false"/>
              <w:rPr/>
            </w:pPr>
            <w:r>
              <w:rPr/>
            </w:r>
          </w:p>
        </w:tc>
        <w:tc>
          <w:tcPr>
            <w:tcW w:w="4428" w:type="dxa"/>
            <w:tcBorders/>
          </w:tcPr>
          <w:p>
            <w:pPr>
              <w:pStyle w:val="Normal"/>
              <w:tabs>
                <w:tab w:val="clear" w:pos="720"/>
                <w:tab w:val="left" w:pos="1332" w:leader="none"/>
              </w:tabs>
              <w:snapToGrid w:val="false"/>
              <w:rPr/>
            </w:pPr>
            <w:r>
              <w:rPr/>
            </w:r>
          </w:p>
        </w:tc>
      </w:tr>
      <w:tr>
        <w:trPr/>
        <w:tc>
          <w:tcPr>
            <w:tcW w:w="4428" w:type="dxa"/>
            <w:tcBorders/>
          </w:tcPr>
          <w:p>
            <w:pPr>
              <w:pStyle w:val="Normal"/>
              <w:rPr/>
            </w:pPr>
            <w:r>
              <w:rPr/>
              <w:t>Determination Period (s):</w:t>
            </w:r>
          </w:p>
        </w:tc>
        <w:tc>
          <w:tcPr>
            <w:tcW w:w="4428" w:type="dxa"/>
            <w:tcBorders/>
          </w:tcPr>
          <w:p>
            <w:pPr>
              <w:pStyle w:val="Normal"/>
              <w:tabs>
                <w:tab w:val="clear" w:pos="720"/>
                <w:tab w:val="left" w:pos="1332" w:leader="none"/>
              </w:tabs>
              <w:rPr/>
            </w:pPr>
            <w:r>
              <w:rPr/>
              <w:t>Each calendar month, with the first Determination Period commencing on the Effective Date and the final Calculation ending on the Termination Date.</w:t>
            </w:r>
          </w:p>
          <w:p>
            <w:pPr>
              <w:pStyle w:val="Normal"/>
              <w:tabs>
                <w:tab w:val="clear" w:pos="720"/>
                <w:tab w:val="left" w:pos="1332" w:leader="none"/>
              </w:tabs>
              <w:rPr/>
            </w:pPr>
            <w:r>
              <w:rPr/>
            </w:r>
          </w:p>
        </w:tc>
      </w:tr>
      <w:tr>
        <w:trPr/>
        <w:tc>
          <w:tcPr>
            <w:tcW w:w="4428" w:type="dxa"/>
            <w:tcBorders/>
          </w:tcPr>
          <w:p>
            <w:pPr>
              <w:pStyle w:val="Normal"/>
              <w:rPr/>
            </w:pPr>
            <w:r>
              <w:rPr/>
              <w:t>Payment Date(s):</w:t>
            </w:r>
          </w:p>
        </w:tc>
        <w:tc>
          <w:tcPr>
            <w:tcW w:w="4428" w:type="dxa"/>
            <w:tcBorders/>
          </w:tcPr>
          <w:p>
            <w:pPr>
              <w:pStyle w:val="Normal"/>
              <w:tabs>
                <w:tab w:val="clear" w:pos="720"/>
                <w:tab w:val="left" w:pos="1332" w:leader="none"/>
              </w:tabs>
              <w:rPr/>
            </w:pPr>
            <w:r>
              <w:rPr/>
              <w:t>The fifth (5</w:t>
            </w:r>
            <w:r>
              <w:rPr>
                <w:vertAlign w:val="superscript"/>
              </w:rPr>
              <w:t>th</w:t>
            </w:r>
            <w:r>
              <w:rPr/>
              <w:t>) Business Day after the Floating Price is determinable.</w:t>
            </w:r>
          </w:p>
        </w:tc>
      </w:tr>
    </w:tbl>
    <w:p>
      <w:pPr>
        <w:pStyle w:val="BodyTextIndent"/>
        <w:tabs>
          <w:tab w:val="left" w:pos="90" w:leader="none"/>
          <w:tab w:val="left" w:pos="2160" w:leader="none"/>
          <w:tab w:val="left" w:pos="4140" w:leader="none"/>
          <w:tab w:val="left" w:pos="4320" w:leader="none"/>
          <w:tab w:val="left" w:pos="6480" w:leader="none"/>
        </w:tabs>
        <w:ind w:hanging="720" w:start="0" w:end="0"/>
        <w:rPr/>
      </w:pPr>
      <w:r>
        <w:rPr/>
      </w:r>
    </w:p>
    <w:p>
      <w:pPr>
        <w:pStyle w:val="BodyTextIndent"/>
        <w:tabs>
          <w:tab w:val="left" w:pos="90" w:leader="none"/>
          <w:tab w:val="left" w:pos="2160" w:leader="none"/>
          <w:tab w:val="left" w:pos="4140" w:leader="none"/>
          <w:tab w:val="left" w:pos="4320" w:leader="none"/>
          <w:tab w:val="left" w:pos="6480" w:leader="none"/>
        </w:tabs>
        <w:rPr>
          <w:b/>
        </w:rPr>
      </w:pPr>
      <w:r>
        <w:rPr>
          <w:b/>
        </w:rPr>
        <w:t>Fixed Amount Details:</w:t>
        <w:tab/>
        <w:tab/>
      </w:r>
    </w:p>
    <w:p>
      <w:pPr>
        <w:pStyle w:val="BodyTextIndent"/>
        <w:tabs>
          <w:tab w:val="left" w:pos="90" w:leader="none"/>
          <w:tab w:val="left" w:pos="2160" w:leader="none"/>
          <w:tab w:val="left" w:pos="4140" w:leader="none"/>
          <w:tab w:val="left" w:pos="4320" w:leader="none"/>
          <w:tab w:val="left" w:pos="6480" w:leader="none"/>
        </w:tabs>
        <w:rPr>
          <w:b/>
        </w:rPr>
      </w:pPr>
      <w:r>
        <w:rPr>
          <w:b/>
        </w:rPr>
      </w:r>
    </w:p>
    <w:p>
      <w:pPr>
        <w:pStyle w:val="BodyTextIndent"/>
        <w:tabs>
          <w:tab w:val="left" w:pos="90" w:leader="none"/>
          <w:tab w:val="left" w:pos="2160" w:leader="none"/>
          <w:tab w:val="left" w:pos="4140" w:leader="none"/>
          <w:tab w:val="left" w:pos="6480" w:leader="none"/>
        </w:tabs>
        <w:ind w:hanging="720" w:start="0" w:end="0"/>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pPr>
            <w:r>
              <w:rPr/>
              <w:t>Fixed Price Payer:</w:t>
            </w:r>
          </w:p>
        </w:tc>
        <w:tc>
          <w:tcPr>
            <w:tcW w:w="4428" w:type="dxa"/>
            <w:tcBorders/>
          </w:tcPr>
          <w:p>
            <w:pPr>
              <w:pStyle w:val="Normal"/>
              <w:rPr/>
            </w:pPr>
            <w:r>
              <w:rPr/>
              <w:t>The Worthington Steel Company (OH)</w:t>
            </w:r>
          </w:p>
          <w:p>
            <w:pPr>
              <w:pStyle w:val="Normal"/>
              <w:rPr/>
            </w:pPr>
            <w:r>
              <w:rPr/>
            </w:r>
          </w:p>
        </w:tc>
      </w:tr>
      <w:tr>
        <w:trPr/>
        <w:tc>
          <w:tcPr>
            <w:tcW w:w="4428" w:type="dxa"/>
            <w:tcBorders/>
          </w:tcPr>
          <w:p>
            <w:pPr>
              <w:pStyle w:val="Normal"/>
              <w:rPr/>
            </w:pPr>
            <w:r>
              <w:rPr/>
              <w:t>Fixed Price:</w:t>
            </w:r>
          </w:p>
        </w:tc>
        <w:tc>
          <w:tcPr>
            <w:tcW w:w="4428" w:type="dxa"/>
            <w:tcBorders/>
          </w:tcPr>
          <w:p>
            <w:pPr>
              <w:pStyle w:val="Normal"/>
              <w:tabs>
                <w:tab w:val="clear" w:pos="720"/>
                <w:tab w:val="left" w:pos="1512" w:leader="none"/>
              </w:tabs>
              <w:rPr/>
            </w:pPr>
            <w:r>
              <w:rPr/>
              <w:t>USD 258.00  per Net Ton</w:t>
            </w:r>
          </w:p>
          <w:p>
            <w:pPr>
              <w:pStyle w:val="Normal"/>
              <w:tabs>
                <w:tab w:val="clear" w:pos="720"/>
                <w:tab w:val="left" w:pos="1512" w:leader="none"/>
              </w:tabs>
              <w:rPr/>
            </w:pPr>
            <w:r>
              <w:rPr/>
            </w:r>
          </w:p>
        </w:tc>
      </w:tr>
      <w:tr>
        <w:trPr/>
        <w:tc>
          <w:tcPr>
            <w:tcW w:w="4428" w:type="dxa"/>
            <w:tcBorders/>
          </w:tcPr>
          <w:p>
            <w:pPr>
              <w:pStyle w:val="Normal"/>
              <w:rPr/>
            </w:pPr>
            <w:r>
              <w:rPr/>
              <w:t>Fixed Amount:</w:t>
            </w:r>
          </w:p>
          <w:p>
            <w:pPr>
              <w:pStyle w:val="Normal"/>
              <w:rPr/>
            </w:pPr>
            <w:r>
              <w:rPr/>
            </w:r>
          </w:p>
        </w:tc>
        <w:tc>
          <w:tcPr>
            <w:tcW w:w="4428" w:type="dxa"/>
            <w:tcBorders/>
          </w:tcPr>
          <w:p>
            <w:pPr>
              <w:pStyle w:val="Normal"/>
              <w:tabs>
                <w:tab w:val="clear" w:pos="720"/>
                <w:tab w:val="left" w:pos="1512" w:leader="none"/>
              </w:tabs>
              <w:rPr/>
            </w:pPr>
            <w:r>
              <w:rPr/>
              <w:t>The Fixed Price multiplied by the Notional Quantity per Determination Period</w:t>
            </w:r>
          </w:p>
        </w:tc>
      </w:tr>
    </w:tbl>
    <w:p>
      <w:pPr>
        <w:pStyle w:val="BodyTextIndent"/>
        <w:tabs>
          <w:tab w:val="left" w:pos="90" w:leader="none"/>
          <w:tab w:val="left" w:pos="2160" w:leader="none"/>
          <w:tab w:val="left" w:pos="4140" w:leader="none"/>
          <w:tab w:val="left" w:pos="4320" w:leader="none"/>
          <w:tab w:val="left" w:pos="6480" w:leader="none"/>
        </w:tabs>
        <w:rPr>
          <w:b/>
        </w:rPr>
      </w:pPr>
      <w:r>
        <w:rPr>
          <w:b/>
        </w:rPr>
      </w:r>
    </w:p>
    <w:p>
      <w:pPr>
        <w:pStyle w:val="BodyTextIndent"/>
        <w:tabs>
          <w:tab w:val="left" w:pos="90" w:leader="none"/>
          <w:tab w:val="left" w:pos="2160" w:leader="none"/>
          <w:tab w:val="left" w:pos="4140" w:leader="none"/>
          <w:tab w:val="left" w:pos="4320" w:leader="none"/>
          <w:tab w:val="left" w:pos="6480" w:leader="none"/>
        </w:tabs>
        <w:rPr/>
      </w:pPr>
      <w:r>
        <w:rPr>
          <w:b/>
        </w:rPr>
        <w:t>Floating Amount Details:</w:t>
      </w:r>
      <w:r>
        <w:rPr/>
        <w:tab/>
        <w:tab/>
        <w:t xml:space="preserve"> </w:t>
      </w:r>
    </w:p>
    <w:p>
      <w:pPr>
        <w:pStyle w:val="BodyTextIndent"/>
        <w:tabs>
          <w:tab w:val="left" w:pos="90" w:leader="none"/>
          <w:tab w:val="left" w:pos="2160" w:leader="none"/>
          <w:tab w:val="left" w:pos="4140" w:leader="none"/>
          <w:tab w:val="left" w:pos="4320" w:leader="none"/>
          <w:tab w:val="left" w:pos="6480" w:leader="none"/>
        </w:tabs>
        <w:rPr/>
      </w:pPr>
      <w:r>
        <w:rPr/>
      </w:r>
    </w:p>
    <w:p>
      <w:pPr>
        <w:pStyle w:val="BodyTextIndent"/>
        <w:tabs>
          <w:tab w:val="left" w:pos="90" w:leader="none"/>
          <w:tab w:val="left" w:pos="2160" w:leader="none"/>
          <w:tab w:val="left" w:pos="4140" w:leader="none"/>
          <w:tab w:val="left" w:pos="6480" w:leader="none"/>
        </w:tabs>
        <w:ind w:hanging="4860" w:start="4140" w:end="0"/>
        <w:rPr/>
      </w:pPr>
      <w:r>
        <w:rPr/>
      </w:r>
    </w:p>
    <w:p>
      <w:pPr>
        <w:pStyle w:val="BodyTextIndent"/>
        <w:tabs>
          <w:tab w:val="left" w:pos="90" w:leader="none"/>
          <w:tab w:val="left" w:pos="2160" w:leader="none"/>
          <w:tab w:val="left" w:pos="4140" w:leader="none"/>
          <w:tab w:val="left" w:pos="6480" w:leader="none"/>
        </w:tabs>
        <w:ind w:hanging="720" w:start="0" w:end="0"/>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pPr>
            <w:r>
              <w:rPr/>
              <w:t>Floating Price Payer:</w:t>
            </w:r>
          </w:p>
        </w:tc>
        <w:tc>
          <w:tcPr>
            <w:tcW w:w="4428" w:type="dxa"/>
            <w:tcBorders/>
          </w:tcPr>
          <w:p>
            <w:pPr>
              <w:pStyle w:val="Normal"/>
              <w:rPr/>
            </w:pPr>
            <w:r>
              <w:rPr/>
              <w:t>Enron North America Corp.</w:t>
            </w:r>
          </w:p>
          <w:p>
            <w:pPr>
              <w:pStyle w:val="Normal"/>
              <w:rPr/>
            </w:pPr>
            <w:r>
              <w:rPr/>
            </w:r>
          </w:p>
        </w:tc>
      </w:tr>
      <w:tr>
        <w:trPr/>
        <w:tc>
          <w:tcPr>
            <w:tcW w:w="4428" w:type="dxa"/>
            <w:tcBorders/>
          </w:tcPr>
          <w:p>
            <w:pPr>
              <w:pStyle w:val="Normal"/>
              <w:rPr/>
            </w:pPr>
            <w:r>
              <w:rPr/>
              <w:t>Floating Price:</w:t>
            </w:r>
          </w:p>
        </w:tc>
        <w:tc>
          <w:tcPr>
            <w:tcW w:w="4428" w:type="dxa"/>
            <w:tcBorders/>
          </w:tcPr>
          <w:p>
            <w:pPr>
              <w:pStyle w:val="Normal"/>
              <w:rPr/>
            </w:pPr>
            <w:r>
              <w:rPr/>
              <w:t>The Floating Price for a Determination Period shall be the price for "Hot-rolled steel sheet (Midwest, $/ton)" under the heading "Latest Price" in the "Ferrous Metals (truckload quantities, FOB producing mills)" section of the "Transaction Prices" table in the first issue of Purchasing Magazine, or any successor publication, published by Cahners or its successor (such publication, “Official Board Markets”),(www.manufacturing.net /magazine/purchasing) published during the month immediately following such Determination Period.</w:t>
            </w:r>
          </w:p>
          <w:p>
            <w:pPr>
              <w:pStyle w:val="Normal"/>
              <w:rPr/>
            </w:pPr>
            <w:r>
              <w:rPr/>
            </w:r>
          </w:p>
          <w:p>
            <w:pPr>
              <w:pStyle w:val="Normal"/>
              <w:rPr/>
            </w:pPr>
            <w:r>
              <w:rPr/>
            </w:r>
          </w:p>
        </w:tc>
      </w:tr>
      <w:tr>
        <w:trPr/>
        <w:tc>
          <w:tcPr>
            <w:tcW w:w="4428" w:type="dxa"/>
            <w:tcBorders/>
          </w:tcPr>
          <w:p>
            <w:pPr>
              <w:pStyle w:val="Normal"/>
              <w:rPr/>
            </w:pPr>
            <w:r>
              <w:rPr/>
              <w:t>Floating Amount:</w:t>
            </w:r>
          </w:p>
          <w:p>
            <w:pPr>
              <w:pStyle w:val="Normal"/>
              <w:rPr/>
            </w:pPr>
            <w:r>
              <w:rPr/>
            </w:r>
          </w:p>
        </w:tc>
        <w:tc>
          <w:tcPr>
            <w:tcW w:w="4428" w:type="dxa"/>
            <w:tcBorders/>
          </w:tcPr>
          <w:p>
            <w:pPr>
              <w:pStyle w:val="Normal"/>
              <w:rPr/>
            </w:pPr>
            <w:r>
              <w:rPr/>
              <w:t>The Floating Price multiplied by the Notional Quantity per Determination Period.</w:t>
            </w:r>
          </w:p>
          <w:p>
            <w:pPr>
              <w:pStyle w:val="Normal"/>
              <w:rPr/>
            </w:pPr>
            <w:r>
              <w:rPr/>
            </w:r>
          </w:p>
        </w:tc>
      </w:tr>
      <w:tr>
        <w:trPr/>
        <w:tc>
          <w:tcPr>
            <w:tcW w:w="4428" w:type="dxa"/>
            <w:tcBorders/>
          </w:tcPr>
          <w:p>
            <w:pPr>
              <w:pStyle w:val="Normal"/>
              <w:rPr/>
            </w:pPr>
            <w:r>
              <w:rPr/>
              <w:t>Pricing Date(s):</w:t>
            </w:r>
          </w:p>
        </w:tc>
        <w:tc>
          <w:tcPr>
            <w:tcW w:w="4428" w:type="dxa"/>
            <w:tcBorders/>
          </w:tcPr>
          <w:p>
            <w:pPr>
              <w:pStyle w:val="Normal"/>
              <w:rPr/>
            </w:pPr>
            <w:r>
              <w:rPr/>
              <w:t>Date of publication of the relevant Official Board Markets for the applicable Determination Period.</w:t>
            </w:r>
          </w:p>
          <w:p>
            <w:pPr>
              <w:pStyle w:val="Normal"/>
              <w:rPr/>
            </w:pPr>
            <w:r>
              <w:rPr/>
            </w:r>
          </w:p>
        </w:tc>
      </w:tr>
      <w:tr>
        <w:trPr/>
        <w:tc>
          <w:tcPr>
            <w:tcW w:w="4428" w:type="dxa"/>
            <w:tcBorders/>
          </w:tcPr>
          <w:p>
            <w:pPr>
              <w:pStyle w:val="Normal"/>
              <w:rPr/>
            </w:pPr>
            <w:r>
              <w:rPr/>
              <w:t>Alternative Floating Price Source:</w:t>
            </w:r>
          </w:p>
        </w:tc>
        <w:tc>
          <w:tcPr>
            <w:tcW w:w="4428" w:type="dxa"/>
            <w:tcBorders/>
          </w:tcPr>
          <w:p>
            <w:pPr>
              <w:pStyle w:val="Normal"/>
              <w:rPr/>
            </w:pPr>
            <w:r>
              <w:rPr/>
              <w:t>The Alternative Floating Price Source for a Determination Period shall be the price for "HR Coil", "Local" for “USA -Midwest” in the "Flat-Rolled Sheet Prices" section of the “CRU Monitor Steel Sheet Products” or any successor publication, published by CRU or its successor (www.cru.co.uk) published during the month of such Determination Period.</w:t>
            </w:r>
          </w:p>
        </w:tc>
      </w:tr>
    </w:tbl>
    <w:p>
      <w:pPr>
        <w:pStyle w:val="Normal"/>
        <w:spacing w:lineRule="atLeast" w:line="240"/>
        <w:ind w:hanging="4080" w:start="4080" w:end="0"/>
        <w:rPr>
          <w:color w:val="000000"/>
          <w:lang w:eastAsia="en-US"/>
        </w:rPr>
      </w:pPr>
      <w:r>
        <w:rPr>
          <w:color w:val="000000"/>
          <w:lang w:eastAsia="en-US"/>
        </w:rPr>
      </w:r>
    </w:p>
    <w:p>
      <w:pPr>
        <w:pStyle w:val="Normal"/>
        <w:spacing w:lineRule="atLeast" w:line="240"/>
        <w:ind w:hanging="4080" w:start="4080" w:end="0"/>
        <w:rPr>
          <w:color w:val="000000"/>
          <w:lang w:eastAsia="en-US"/>
        </w:rPr>
      </w:pPr>
      <w:r>
        <w:rPr>
          <w:color w:val="000000"/>
          <w:lang w:eastAsia="en-US"/>
        </w:rPr>
      </w:r>
    </w:p>
    <w:p>
      <w:pPr>
        <w:pStyle w:val="BodyTextIndent"/>
        <w:tabs>
          <w:tab w:val="left" w:pos="90" w:leader="none"/>
          <w:tab w:val="left" w:pos="2160" w:leader="none"/>
          <w:tab w:val="left" w:pos="4410" w:leader="none"/>
          <w:tab w:val="left" w:pos="6480" w:leader="none"/>
        </w:tabs>
        <w:ind w:hanging="5130" w:start="4410" w:end="0"/>
        <w:rPr/>
      </w:pPr>
      <w:r>
        <w:rPr>
          <w:b/>
        </w:rPr>
        <w:t>Contractual Currency:</w:t>
      </w:r>
      <w:r>
        <w:rPr/>
        <w:tab/>
        <w:tab/>
        <w:t>U. S. Dollars</w:t>
      </w:r>
    </w:p>
    <w:p>
      <w:pPr>
        <w:pStyle w:val="BodyTextIndent"/>
        <w:tabs>
          <w:tab w:val="left" w:pos="90" w:leader="none"/>
          <w:tab w:val="left" w:pos="2160" w:leader="none"/>
          <w:tab w:val="left" w:pos="4320" w:leader="none"/>
          <w:tab w:val="left" w:pos="4410" w:leader="none"/>
          <w:tab w:val="left" w:pos="6480" w:leader="none"/>
        </w:tabs>
        <w:ind w:hanging="5130" w:start="4410" w:end="0"/>
        <w:rPr/>
      </w:pPr>
      <w:r>
        <w:rPr/>
      </w:r>
    </w:p>
    <w:p>
      <w:pPr>
        <w:pStyle w:val="BodyTextIndent"/>
        <w:ind w:hanging="5130" w:start="4410" w:end="0"/>
        <w:rPr/>
      </w:pPr>
      <w:r>
        <w:rPr>
          <w:b/>
        </w:rPr>
        <w:t>Governing Law:</w:t>
        <w:tab/>
        <w:tab/>
      </w:r>
      <w:r>
        <w:rPr/>
        <w:t>Texas</w:t>
        <w:tab/>
        <w:tab/>
      </w:r>
    </w:p>
    <w:p>
      <w:pPr>
        <w:pStyle w:val="BodyTextIndent"/>
        <w:tabs>
          <w:tab w:val="left" w:pos="90" w:leader="none"/>
          <w:tab w:val="left" w:pos="2160" w:leader="none"/>
          <w:tab w:val="left" w:pos="4320" w:leader="none"/>
          <w:tab w:val="left" w:pos="4410" w:leader="none"/>
          <w:tab w:val="left" w:pos="6480" w:leader="none"/>
        </w:tabs>
        <w:ind w:hanging="5130" w:start="4410" w:end="0"/>
        <w:rPr/>
      </w:pPr>
      <w:r>
        <w:rPr/>
      </w:r>
    </w:p>
    <w:p>
      <w:pPr>
        <w:pStyle w:val="BodyTextIndent"/>
        <w:tabs>
          <w:tab w:val="left" w:pos="90" w:leader="none"/>
          <w:tab w:val="left" w:pos="2160" w:leader="none"/>
          <w:tab w:val="left" w:pos="4410" w:leader="none"/>
          <w:tab w:val="left" w:pos="6480" w:leader="none"/>
        </w:tabs>
        <w:ind w:hanging="5130" w:start="4410" w:end="0"/>
        <w:rPr>
          <w:b/>
        </w:rPr>
      </w:pPr>
      <w:r>
        <w:rPr>
          <w:b/>
        </w:rPr>
        <w:t xml:space="preserve">General Terms and Conditions </w:t>
      </w:r>
    </w:p>
    <w:p>
      <w:pPr>
        <w:pStyle w:val="BodyTextIndent"/>
        <w:tabs>
          <w:tab w:val="left" w:pos="90" w:leader="none"/>
          <w:tab w:val="left" w:pos="2160" w:leader="none"/>
          <w:tab w:val="left" w:pos="4410" w:leader="none"/>
          <w:tab w:val="left" w:pos="6480" w:leader="none"/>
        </w:tabs>
        <w:ind w:hanging="5130" w:start="4410" w:end="0"/>
        <w:rPr/>
      </w:pPr>
      <w:r>
        <w:rPr>
          <w:b/>
        </w:rPr>
        <w:t>of Confirmations:</w:t>
        <w:tab/>
        <w:tab/>
      </w:r>
      <w:r>
        <w:rPr/>
        <w:t>The general terms and conditions contained in Annex A attached hereto and made a part hereof apply and are incorporated herein by reference</w:t>
      </w:r>
    </w:p>
    <w:p>
      <w:pPr>
        <w:pStyle w:val="BodyTextIndent"/>
        <w:tabs>
          <w:tab w:val="left" w:pos="90" w:leader="none"/>
          <w:tab w:val="left" w:pos="2160" w:leader="none"/>
          <w:tab w:val="left" w:pos="4320" w:leader="none"/>
          <w:tab w:val="left" w:pos="4410" w:leader="none"/>
          <w:tab w:val="left" w:pos="6480" w:leader="none"/>
        </w:tabs>
        <w:ind w:hanging="5130" w:start="4410" w:end="0"/>
        <w:rPr>
          <w:b/>
        </w:rPr>
      </w:pPr>
      <w:r>
        <w:rPr>
          <w:b/>
        </w:rPr>
      </w:r>
    </w:p>
    <w:p>
      <w:pPr>
        <w:pStyle w:val="BodyTextIndent"/>
        <w:tabs>
          <w:tab w:val="left" w:pos="90" w:leader="none"/>
          <w:tab w:val="left" w:pos="2160" w:leader="none"/>
          <w:tab w:val="left" w:pos="4140" w:leader="none"/>
          <w:tab w:val="left" w:pos="6480" w:leader="none"/>
        </w:tabs>
        <w:ind w:hanging="4860" w:start="4140" w:end="0"/>
        <w:rPr/>
      </w:pPr>
      <w:r>
        <w:rPr>
          <w:b/>
        </w:rPr>
        <w:t>Credit or Other Special Provisions:</w:t>
      </w:r>
      <w:r>
        <w:rPr/>
        <w:tab/>
      </w:r>
    </w:p>
    <w:p>
      <w:pPr>
        <w:pStyle w:val="BodyTextIndent"/>
        <w:tabs>
          <w:tab w:val="left" w:pos="90" w:leader="none"/>
          <w:tab w:val="left" w:pos="2160" w:leader="none"/>
          <w:tab w:val="left" w:pos="4320" w:leader="none"/>
          <w:tab w:val="left" w:pos="6480" w:leader="none"/>
        </w:tabs>
        <w:ind w:hanging="5040" w:start="4320" w:end="0"/>
        <w:rPr>
          <w:b/>
        </w:rPr>
      </w:pPr>
      <w:r>
        <w:rPr>
          <w:b/>
        </w:rPr>
      </w:r>
    </w:p>
    <w:p>
      <w:pPr>
        <w:pStyle w:val="BodyTextIndent"/>
        <w:ind w:start="-630" w:end="0"/>
        <w:rPr>
          <w:b/>
        </w:rPr>
      </w:pPr>
      <w:r>
        <w:rPr/>
        <w:tab/>
        <w:t>For purposes of determining the relevant price for any day, if the price published on a given day and used or to be used by ENA to determine a relevant price is subsequently corrected and the correction is published within 40 calendar days of the original publication, either party may notify the other party of (i) that correction and (ii) the amount (if any) that is payable as a result of that correction. If, not later than 40 calendar days after publication of that correction,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on that amount at the Interest Rate for the period from and including the day on which a payment originally was (or was not) made to but excluding the day of payment of the refund or payment resulting from that correction.</w:t>
      </w:r>
    </w:p>
    <w:p>
      <w:pPr>
        <w:pStyle w:val="BodyTextIndent"/>
        <w:tabs>
          <w:tab w:val="left" w:pos="90" w:leader="none"/>
          <w:tab w:val="left" w:pos="810" w:leader="none"/>
          <w:tab w:val="left" w:pos="2160" w:leader="none"/>
          <w:tab w:val="left" w:pos="4320" w:leader="none"/>
          <w:tab w:val="left" w:pos="6480" w:leader="none"/>
        </w:tabs>
        <w:rPr>
          <w:b/>
        </w:rPr>
      </w:pPr>
      <w:r>
        <w:rPr>
          <w:b/>
        </w:rPr>
      </w:r>
    </w:p>
    <w:p>
      <w:pPr>
        <w:pStyle w:val="BodyTextIndent"/>
        <w:tabs>
          <w:tab w:val="left" w:pos="90" w:leader="none"/>
          <w:tab w:val="left" w:pos="810" w:leader="none"/>
          <w:tab w:val="left" w:pos="2160" w:leader="none"/>
          <w:tab w:val="left" w:pos="4320" w:leader="none"/>
          <w:tab w:val="left" w:pos="6480" w:leader="none"/>
        </w:tabs>
        <w:rPr/>
      </w:pPr>
      <w:r>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t>Enron North America Corp. is please to have entered into this Transaction with you.</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t>Sincerely,</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t>Enron North America Corp.</w:t>
        <w:tab/>
        <w:tab/>
        <w:t>The Worthington Steel Company (OH)</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By: _________________________</w:t>
        <w:tab/>
        <w:tab/>
        <w:t>By:  ________________________</w:t>
        <w:tab/>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Name: _______________________</w:t>
        <w:tab/>
        <w:t>Name: 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Title: ________________________</w:t>
        <w:tab/>
        <w:t>Title: 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Date: ________________________</w:t>
        <w:tab/>
        <w:t>Date:  _______________________</w:t>
      </w:r>
      <w:r>
        <w:br w:type="page"/>
      </w:r>
    </w:p>
    <w:p>
      <w:pPr>
        <w:pStyle w:val="Normal"/>
        <w:rPr/>
      </w:pPr>
      <w:r>
        <w:rPr/>
      </w:r>
    </w:p>
    <w:p>
      <w:pPr>
        <w:pStyle w:val="Normal"/>
        <w:rPr/>
      </w:pPr>
      <w:r>
        <w:rPr/>
      </w:r>
    </w:p>
    <w:p>
      <w:pPr>
        <w:pStyle w:val="Normal"/>
        <w:ind w:start="-720" w:end="0"/>
        <w:rPr/>
      </w:pPr>
      <w:r>
        <w:rPr>
          <w:b/>
        </w:rPr>
        <w:t xml:space="preserve">COUNTERPARTY: AFTER YOU HAVE CONFIRMED TRANSACTION, PLEASE RETURN TO ENA, ATTENTION:  DIRECTOR OF DOCUMENTATION AT FAX NO </w:t>
      </w:r>
      <w:r>
        <w:rPr>
          <w:b/>
        </w:rPr>
        <w:fldChar w:fldCharType="begin"/>
      </w:r>
      <w:r>
        <w:rPr>
          <w:b/>
        </w:rPr>
        <w:instrText xml:space="preserve"> MERGEFIELD EnronCanadaFax </w:instrText>
      </w:r>
      <w:r>
        <w:rPr>
          <w:b/>
        </w:rPr>
        <w:fldChar w:fldCharType="separate"/>
      </w:r>
      <w:r>
        <w:rPr>
          <w:b/>
        </w:rPr>
        <w:t>(713) 646-8898</w:t>
      </w:r>
      <w:r>
        <w:rPr>
          <w:b/>
        </w:rPr>
        <w:fldChar w:fldCharType="end"/>
      </w:r>
    </w:p>
    <w:p>
      <w:pPr>
        <w:pStyle w:val="Normal"/>
        <w:rPr/>
      </w:pPr>
      <w:r>
        <w:rPr/>
      </w:r>
    </w:p>
    <w:tbl>
      <w:tblPr>
        <w:tblW w:w="9450" w:type="dxa"/>
        <w:jc w:val="start"/>
        <w:tblInd w:w="-612" w:type="dxa"/>
        <w:tblLayout w:type="fixed"/>
        <w:tblCellMar>
          <w:top w:w="0" w:type="dxa"/>
          <w:start w:w="108" w:type="dxa"/>
          <w:bottom w:w="0" w:type="dxa"/>
          <w:end w:w="108" w:type="dxa"/>
        </w:tblCellMar>
      </w:tblPr>
      <w:tblGrid>
        <w:gridCol w:w="4860"/>
        <w:gridCol w:w="4590"/>
      </w:tblGrid>
      <w:tr>
        <w:trPr/>
        <w:tc>
          <w:tcPr>
            <w:tcW w:w="4860" w:type="dxa"/>
            <w:tcBorders/>
          </w:tcPr>
          <w:p>
            <w:pPr>
              <w:pStyle w:val="Normal"/>
              <w:rPr>
                <w:b/>
              </w:rPr>
            </w:pPr>
            <w:r>
              <w:rPr>
                <w:b/>
              </w:rPr>
              <w:t>Address for Notices to ENA:</w:t>
            </w:r>
          </w:p>
        </w:tc>
        <w:tc>
          <w:tcPr>
            <w:tcW w:w="4590" w:type="dxa"/>
            <w:tcBorders/>
          </w:tcPr>
          <w:p>
            <w:pPr>
              <w:pStyle w:val="Normal"/>
              <w:rPr>
                <w:b/>
              </w:rPr>
            </w:pPr>
            <w:r>
              <w:rPr>
                <w:b/>
              </w:rPr>
              <w:t>Payment Account Information for ENA:</w:t>
            </w:r>
          </w:p>
        </w:tc>
      </w:tr>
      <w:tr>
        <w:trPr/>
        <w:tc>
          <w:tcPr>
            <w:tcW w:w="4860" w:type="dxa"/>
            <w:tcBorders/>
          </w:tcPr>
          <w:p>
            <w:pPr>
              <w:pStyle w:val="Normal"/>
              <w:snapToGrid w:val="false"/>
              <w:rPr/>
            </w:pPr>
            <w:r>
              <w:rPr/>
            </w:r>
          </w:p>
        </w:tc>
        <w:tc>
          <w:tcPr>
            <w:tcW w:w="4590" w:type="dxa"/>
            <w:tcBorders/>
          </w:tcPr>
          <w:p>
            <w:pPr>
              <w:pStyle w:val="Normal"/>
              <w:snapToGrid w:val="false"/>
              <w:rPr/>
            </w:pPr>
            <w:r>
              <w:rPr/>
            </w:r>
          </w:p>
        </w:tc>
      </w:tr>
      <w:tr>
        <w:trPr/>
        <w:tc>
          <w:tcPr>
            <w:tcW w:w="4860" w:type="dxa"/>
            <w:tcBorders/>
          </w:tcPr>
          <w:p>
            <w:pPr>
              <w:pStyle w:val="Normal"/>
              <w:rPr/>
            </w:pPr>
            <w:r>
              <w:rPr/>
              <w:fldChar w:fldCharType="begin"/>
            </w:r>
            <w:r>
              <w:rPr/>
              <w:instrText xml:space="preserve"> MERGEFIELD EnronAddr1 </w:instrText>
            </w:r>
            <w:r>
              <w:rPr/>
              <w:fldChar w:fldCharType="separate"/>
            </w:r>
            <w:r>
              <w:rPr/>
              <w:t>1400 Smith St</w:t>
            </w:r>
            <w:r>
              <w:rPr/>
              <w:fldChar w:fldCharType="end"/>
            </w:r>
          </w:p>
        </w:tc>
        <w:tc>
          <w:tcPr>
            <w:tcW w:w="4590" w:type="dxa"/>
            <w:tcBorders/>
          </w:tcPr>
          <w:p>
            <w:pPr>
              <w:pStyle w:val="Normal"/>
              <w:rPr/>
            </w:pPr>
            <w:r>
              <w:rPr/>
              <w:t>Wire Transfer to: Bank of America, N.A.</w:t>
            </w:r>
          </w:p>
        </w:tc>
      </w:tr>
      <w:tr>
        <w:trPr/>
        <w:tc>
          <w:tcPr>
            <w:tcW w:w="4860" w:type="dxa"/>
            <w:tcBorders/>
          </w:tcPr>
          <w:p>
            <w:pPr>
              <w:pStyle w:val="Normal"/>
              <w:rPr/>
            </w:pPr>
            <w:r>
              <w:rPr/>
              <w:fldChar w:fldCharType="begin"/>
            </w:r>
            <w:r>
              <w:rPr/>
              <w:instrText xml:space="preserve"> MERGEFIELD EnronAddrCity </w:instrText>
            </w:r>
            <w:r>
              <w:rPr/>
              <w:fldChar w:fldCharType="separate"/>
            </w:r>
            <w:r>
              <w:rPr/>
              <w:t>Houston</w:t>
            </w:r>
            <w:r>
              <w:rPr/>
              <w:fldChar w:fldCharType="end"/>
            </w:r>
            <w:r>
              <w:rPr/>
              <w:t xml:space="preserve">, </w:t>
            </w:r>
            <w:r>
              <w:rPr/>
              <w:fldChar w:fldCharType="begin"/>
            </w:r>
            <w:r>
              <w:rPr/>
              <w:instrText xml:space="preserve"> MERGEFIELD EnronAddrState </w:instrText>
            </w:r>
            <w:r>
              <w:rPr/>
              <w:fldChar w:fldCharType="separate"/>
            </w:r>
            <w:r>
              <w:rPr/>
              <w:t>TX</w:t>
            </w:r>
            <w:r>
              <w:rPr/>
              <w:fldChar w:fldCharType="end"/>
            </w:r>
            <w:r>
              <w:rPr/>
              <w:t xml:space="preserve"> </w:t>
            </w:r>
            <w:r>
              <w:rPr/>
              <w:fldChar w:fldCharType="begin"/>
            </w:r>
            <w:r>
              <w:rPr/>
              <w:instrText xml:space="preserve"> MERGEFIELD EnronAddrZip </w:instrText>
            </w:r>
            <w:r>
              <w:rPr/>
              <w:fldChar w:fldCharType="separate"/>
            </w:r>
            <w:r>
              <w:rPr/>
              <w:t>77002</w:t>
            </w:r>
            <w:r>
              <w:rPr/>
              <w:fldChar w:fldCharType="end"/>
            </w:r>
          </w:p>
        </w:tc>
        <w:tc>
          <w:tcPr>
            <w:tcW w:w="4590" w:type="dxa"/>
            <w:tcBorders/>
          </w:tcPr>
          <w:p>
            <w:pPr>
              <w:pStyle w:val="Normal"/>
              <w:rPr/>
            </w:pPr>
            <w:r>
              <w:rPr/>
              <w:t xml:space="preserve">Acct No. </w:t>
            </w:r>
            <w:r>
              <w:rPr/>
              <w:fldChar w:fldCharType="begin"/>
            </w:r>
            <w:r>
              <w:rPr/>
              <w:instrText xml:space="preserve"> MERGEFIELD WireTransferAcct </w:instrText>
            </w:r>
            <w:r>
              <w:rPr/>
              <w:fldChar w:fldCharType="separate"/>
            </w:r>
            <w:r>
              <w:rPr/>
              <w:t>3750494727</w:t>
            </w:r>
            <w:r>
              <w:rPr/>
              <w:fldChar w:fldCharType="end"/>
            </w:r>
          </w:p>
        </w:tc>
      </w:tr>
      <w:tr>
        <w:trPr/>
        <w:tc>
          <w:tcPr>
            <w:tcW w:w="4860" w:type="dxa"/>
            <w:tcBorders/>
          </w:tcPr>
          <w:p>
            <w:pPr>
              <w:pStyle w:val="Normal"/>
              <w:rPr/>
            </w:pPr>
            <w:r>
              <w:rPr/>
              <w:t>Attention: Director, Documentation Dept</w:t>
            </w:r>
          </w:p>
        </w:tc>
        <w:tc>
          <w:tcPr>
            <w:tcW w:w="4590" w:type="dxa"/>
            <w:tcBorders/>
          </w:tcPr>
          <w:p>
            <w:pPr>
              <w:pStyle w:val="Normal"/>
              <w:rPr/>
            </w:pPr>
            <w:r>
              <w:rPr/>
              <w:t xml:space="preserve">ABA Routing No. </w:t>
            </w:r>
            <w:r>
              <w:rPr/>
              <w:fldChar w:fldCharType="begin"/>
            </w:r>
            <w:r>
              <w:rPr/>
              <w:instrText xml:space="preserve"> MERGEFIELD ABARouting </w:instrText>
            </w:r>
            <w:r>
              <w:rPr/>
              <w:fldChar w:fldCharType="separate"/>
            </w:r>
            <w:r>
              <w:rPr/>
              <w:t>111000012</w:t>
            </w:r>
            <w:r>
              <w:rPr/>
              <w:fldChar w:fldCharType="end"/>
            </w:r>
          </w:p>
        </w:tc>
      </w:tr>
      <w:tr>
        <w:trPr/>
        <w:tc>
          <w:tcPr>
            <w:tcW w:w="4860" w:type="dxa"/>
            <w:tcBorders/>
          </w:tcPr>
          <w:p>
            <w:pPr>
              <w:pStyle w:val="Normal"/>
              <w:rPr/>
            </w:pPr>
            <w:r>
              <w:rPr/>
              <w:t xml:space="preserve">Fax: </w:t>
            </w:r>
            <w:r>
              <w:rPr/>
              <w:fldChar w:fldCharType="begin"/>
            </w:r>
            <w:r>
              <w:rPr/>
              <w:instrText xml:space="preserve"> MERGEFIELD EnronFax </w:instrText>
            </w:r>
            <w:r>
              <w:rPr/>
              <w:fldChar w:fldCharType="separate"/>
            </w:r>
            <w:r>
              <w:rPr/>
              <w:t>(713) 646-4816</w:t>
            </w:r>
            <w:r>
              <w:rPr/>
              <w:fldChar w:fldCharType="end"/>
            </w:r>
          </w:p>
        </w:tc>
        <w:tc>
          <w:tcPr>
            <w:tcW w:w="4590" w:type="dxa"/>
            <w:tcBorders/>
          </w:tcPr>
          <w:p>
            <w:pPr>
              <w:pStyle w:val="Normal"/>
              <w:snapToGrid w:val="false"/>
              <w:rPr/>
            </w:pPr>
            <w:r>
              <w:rPr/>
            </w:r>
          </w:p>
        </w:tc>
      </w:tr>
      <w:tr>
        <w:trPr/>
        <w:tc>
          <w:tcPr>
            <w:tcW w:w="4860" w:type="dxa"/>
            <w:tcBorders/>
          </w:tcPr>
          <w:p>
            <w:pPr>
              <w:pStyle w:val="Normal"/>
              <w:rPr/>
            </w:pPr>
            <w:r>
              <w:rPr/>
              <w:t xml:space="preserve">Phone: </w:t>
            </w:r>
            <w:r>
              <w:rPr/>
              <w:fldChar w:fldCharType="begin"/>
            </w:r>
            <w:r>
              <w:rPr/>
              <w:instrText xml:space="preserve"> MERGEFIELD EnronTelephone </w:instrText>
            </w:r>
            <w:r>
              <w:rPr/>
              <w:fldChar w:fldCharType="separate"/>
            </w:r>
            <w:r>
              <w:rPr/>
              <w:t>(713) 853-3300</w:t>
            </w:r>
            <w:r>
              <w:rPr/>
              <w:fldChar w:fldCharType="end"/>
            </w:r>
          </w:p>
        </w:tc>
        <w:tc>
          <w:tcPr>
            <w:tcW w:w="4590" w:type="dxa"/>
            <w:tcBorders/>
          </w:tcPr>
          <w:p>
            <w:pPr>
              <w:pStyle w:val="Normal"/>
              <w:snapToGrid w:val="false"/>
              <w:rPr/>
            </w:pPr>
            <w:r>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rPr>
      </w:pPr>
      <w:r>
        <w:rPr>
          <w:b/>
        </w:rPr>
      </w:r>
    </w:p>
    <w:p>
      <w:pPr>
        <w:pStyle w:val="BodyTextIndent"/>
        <w:tabs>
          <w:tab w:val="left" w:pos="90" w:leader="none"/>
          <w:tab w:val="left" w:pos="810" w:leader="none"/>
          <w:tab w:val="left" w:pos="2160" w:leader="none"/>
          <w:tab w:val="left" w:pos="4320" w:leader="none"/>
          <w:tab w:val="left" w:pos="5040" w:leader="none"/>
          <w:tab w:val="left" w:pos="6480" w:leader="none"/>
        </w:tabs>
        <w:rPr>
          <w:b/>
        </w:rPr>
      </w:pPr>
      <w:r>
        <w:rPr>
          <w:b/>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 xml:space="preserve"> </w:t>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u w:val="single"/>
              </w:rPr>
            </w:pPr>
            <w:r>
              <w:rPr>
                <w:b/>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u w:val="single"/>
              </w:rPr>
            </w:pPr>
            <w:r>
              <w:rPr>
                <w:b/>
                <w:u w:val="single"/>
              </w:rPr>
              <w:t>Payment Account Information for 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u w:val="single"/>
              </w:rPr>
            </w:pPr>
            <w:r>
              <w:rPr>
                <w:b/>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rPr>
            </w:pPr>
            <w:r>
              <w:rPr>
                <w:b/>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Address:  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pPr>
            <w:r>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pPr>
            <w:r>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pPr>
            <w:r>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Attention: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Fax:</w:t>
            </w:r>
            <w:r>
              <w:rPr>
                <w:b/>
              </w:rPr>
              <w:t xml:space="preserve">  </w:t>
            </w:r>
            <w:r>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Phone:  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rPr>
      </w:pPr>
      <w:r>
        <w:rPr>
          <w:b/>
        </w:rPr>
        <w:t>COUNTERPARTY:   PLEASE PROVIDE ABOVE REQUESTED INFORMATION IF NOT PROVIDED PREVIOUSLY OR IF CHANGES HAVE OCCURRED</w:t>
      </w:r>
    </w:p>
    <w:p>
      <w:pPr>
        <w:sectPr>
          <w:headerReference w:type="default" r:id="rId3"/>
          <w:footerReference w:type="default" r:id="rId4"/>
          <w:type w:val="nextPage"/>
          <w:pgSz w:w="12240" w:h="15840"/>
          <w:pgMar w:left="1800" w:right="1260" w:gutter="0" w:header="720" w:top="1062" w:footer="390" w:bottom="990"/>
          <w:pgNumType w:fmt="decimal"/>
          <w:formProt w:val="false"/>
          <w:textDirection w:val="lrTb"/>
          <w:docGrid w:type="default" w:linePitch="360" w:charSpace="0"/>
        </w:sectPr>
        <w:pStyle w:val="BodyTextIndent"/>
        <w:tabs>
          <w:tab w:val="left" w:pos="90" w:leader="none"/>
          <w:tab w:val="left" w:pos="810" w:leader="none"/>
          <w:tab w:val="left" w:pos="2160" w:leader="none"/>
          <w:tab w:val="left" w:pos="3960" w:leader="none"/>
          <w:tab w:val="left" w:pos="5040" w:leader="none"/>
          <w:tab w:val="left" w:pos="6480" w:leader="none"/>
        </w:tabs>
        <w:jc w:val="start"/>
        <w:rPr>
          <w:b/>
        </w:rPr>
      </w:pPr>
      <w:r>
        <w:rPr>
          <w:b/>
        </w:rPr>
      </w: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ind w:end="-36"/>
        <w:jc w:val="both"/>
        <w:rPr>
          <w:rFonts w:ascii="Arial Narrow" w:hAnsi="Arial Narrow" w:cs="Arial Narrow"/>
          <w:sz w:val="18"/>
        </w:rPr>
      </w:pPr>
      <w:r>
        <w:rPr>
          <w:rFonts w:cs="Arial Narrow" w:ascii="Arial Narrow" w:hAnsi="Arial Narrow"/>
          <w:sz w:val="18"/>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rPr>
      </w:pPr>
      <w:r>
        <w:rPr>
          <w:b/>
        </w:rPr>
      </w:r>
    </w:p>
    <w:sectPr>
      <w:headerReference w:type="default" r:id="rId5"/>
      <w:headerReference w:type="first" r:id="rId6"/>
      <w:footerReference w:type="default" r:id="rId7"/>
      <w:footerReference w:type="first" r:id="rId8"/>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jc w:val="center"/>
      <w:rPr>
        <w:rStyle w:val="PageNumber"/>
        <w:rFonts w:ascii="Arial" w:hAnsi="Arial" w:cs="Arial"/>
        <w:sz w:val="1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r>
  </w:p>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6"/>
      </w:rPr>
    </w:pPr>
    <w:r>
      <w:rPr>
        <w:sz w:val="16"/>
      </w:rPr>
      <w:t xml:space="preserve">Deal No.__________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2001-01-18T12:58:00Z</dcterms:created>
  <dc:creator>wende warren</dc:creator>
  <dc:description/>
  <dc:language>en-CA</dc:language>
  <cp:lastModifiedBy>Andrew E. Wilson</cp:lastModifiedBy>
  <cp:lastPrinted>2001-01-18T10:17:00Z</cp:lastPrinted>
  <dcterms:modified xsi:type="dcterms:W3CDTF">2001-01-18T13:57:00Z</dcterms:modified>
  <cp:revision>6</cp:revision>
  <dc:subject/>
  <dc:title/>
</cp:coreProperties>
</file>