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c/o Enron North America Corp., as agent</w:t>
      </w:r>
    </w:p>
    <w:p>
      <w:pPr>
        <w:pStyle w:val="Normal"/>
        <w:jc w:val="center"/>
        <w:rPr/>
      </w:pPr>
      <w:r>
        <w:rPr/>
        <w:t>1400 Smith Street</w:t>
      </w:r>
    </w:p>
    <w:p>
      <w:pPr>
        <w:pStyle w:val="Normal"/>
        <w:jc w:val="center"/>
        <w:rPr/>
      </w:pPr>
      <w:r>
        <w:rPr/>
        <w:t>Houston, Texas 77002</w:t>
      </w:r>
    </w:p>
    <w:p>
      <w:pPr>
        <w:pStyle w:val="Caption"/>
        <w:spacing w:before="0" w:after="480"/>
        <w:rPr/>
      </w:pPr>
      <w:r>
        <w:rPr/>
      </w:r>
    </w:p>
    <w:p>
      <w:pPr>
        <w:pStyle w:val="Caption"/>
        <w:spacing w:before="0" w:after="480"/>
        <w:rPr/>
      </w:pPr>
      <w:r>
        <w:rPr>
          <w:b/>
        </w:rPr>
        <w:t>[_______]</w:t>
      </w:r>
      <w:r>
        <w:rPr/>
        <w:t xml:space="preserve"> 2001</w:t>
      </w:r>
    </w:p>
    <w:p>
      <w:pPr>
        <w:pStyle w:val="BodyText2"/>
        <w:rPr>
          <w:b/>
          <w:bCs/>
        </w:rPr>
      </w:pPr>
      <w:r>
        <w:rPr>
          <w:b/>
          <w:bCs/>
        </w:rPr>
        <w:t>[General Electric Company</w:t>
      </w:r>
    </w:p>
    <w:p>
      <w:pPr>
        <w:pStyle w:val="BodyText2"/>
        <w:spacing w:before="0" w:after="240"/>
        <w:jc w:val="start"/>
        <w:rPr>
          <w:b/>
        </w:rPr>
      </w:pPr>
      <w:r>
        <w:rPr>
          <w:b/>
          <w:bCs/>
        </w:rPr>
        <w:t>1 River Road Bldg. 36 - 3 East</w:t>
        <w:br/>
        <w:t>Schenectady, New York 12345]</w:t>
      </w:r>
    </w:p>
    <w:p>
      <w:pPr>
        <w:pStyle w:val="BodyText2"/>
        <w:spacing w:before="0" w:after="240"/>
        <w:rPr/>
      </w:pPr>
      <w:r>
        <w:rPr/>
        <w:t>Attn:  Mr. Steven Swift</w:t>
      </w:r>
    </w:p>
    <w:p>
      <w:pPr>
        <w:pStyle w:val="BodyText"/>
        <w:rPr/>
      </w:pPr>
      <w:r>
        <w:rPr/>
        <w:t xml:space="preserve">Dear Mr. Swift:  </w:t>
      </w:r>
    </w:p>
    <w:p>
      <w:pPr>
        <w:pStyle w:val="BodyTextFirstIndent"/>
        <w:rPr/>
      </w:pPr>
      <w:r>
        <w:rPr/>
        <w:t xml:space="preserve">Reference is made to the Agreement, dated </w:t>
      </w:r>
      <w:r>
        <w:rPr>
          <w:b/>
        </w:rPr>
        <w:t>[_____]</w:t>
      </w:r>
      <w:r>
        <w:rPr/>
        <w:t xml:space="preserve"> 2001, between E-Next Generation LLC (“the Purchaser”), acting through its agent, Enron North America Corp. and General Electric Company (“</w:t>
      </w:r>
      <w:r>
        <w:rPr>
          <w:rStyle w:val="underline"/>
          <w:u w:val="none"/>
        </w:rPr>
        <w:t>GE</w:t>
      </w:r>
      <w:r>
        <w:rPr/>
        <w:t xml:space="preserve">”), a copy of which is attached hereto as </w:t>
      </w:r>
      <w:r>
        <w:rPr>
          <w:rStyle w:val="underline"/>
        </w:rPr>
        <w:t>Exhibit A</w:t>
      </w:r>
      <w:r>
        <w:rPr/>
        <w:t xml:space="preserve"> (as modified, supplemented and in effect from time to time, the “</w:t>
      </w:r>
      <w:r>
        <w:rPr>
          <w:rStyle w:val="underline"/>
          <w:u w:val="none"/>
        </w:rPr>
        <w:t>Turbine Contract”)</w:t>
      </w:r>
      <w:r>
        <w:rPr/>
        <w:t xml:space="preserve">.  Unless otherwise specified herein, terms defined in the Turbine Contract are used herein as defined therein after giving effect to this letter agreement.  </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BodyText"/>
        <w:rPr/>
      </w:pPr>
      <w:r>
        <w:rPr>
          <w:rStyle w:val="underline"/>
          <w:u w:val="none"/>
        </w:rPr>
        <w:t>1.</w:t>
        <w:tab/>
      </w:r>
      <w:r>
        <w:rPr>
          <w:rStyle w:val="underline"/>
        </w:rPr>
        <w:t>Article I</w:t>
      </w:r>
      <w:r>
        <w:rPr/>
        <w:t xml:space="preserve"> of the Turbine Contract shall be deemed amended by inserting the following defined terms in the appropriate alphabetical location:</w:t>
      </w:r>
    </w:p>
    <w:p>
      <w:pPr>
        <w:pStyle w:val="BlockText"/>
        <w:rPr/>
      </w:pPr>
      <w:r>
        <w:rPr/>
        <w:t>“</w:t>
      </w:r>
      <w:r>
        <w:rPr>
          <w:rStyle w:val="underline"/>
        </w:rPr>
        <w:t>Agent</w:t>
      </w:r>
      <w:r>
        <w:rPr/>
        <w:t>. Shall mean Enron North America Corp., a Delaware corporation.”</w:t>
      </w:r>
    </w:p>
    <w:p>
      <w:pPr>
        <w:pStyle w:val="BlockText"/>
        <w:rPr/>
      </w:pPr>
      <w:r>
        <w:rPr/>
        <w:t>“</w:t>
      </w:r>
      <w:r>
        <w:rPr>
          <w:u w:val="single"/>
        </w:rPr>
        <w:t>Transferee</w:t>
      </w:r>
      <w:r>
        <w:rPr/>
        <w:t>.  Shall have the meaning as set forth in Section 22.2.”</w:t>
      </w:r>
    </w:p>
    <w:p>
      <w:pPr>
        <w:pStyle w:val="BlockText"/>
        <w:ind w:hanging="0" w:start="1440" w:end="720"/>
        <w:rPr/>
      </w:pPr>
      <w:r>
        <w:rPr/>
        <w:t>“</w:t>
      </w:r>
      <w:r>
        <w:rPr>
          <w:u w:val="single"/>
        </w:rPr>
        <w:t>Transferred Facility</w:t>
      </w:r>
      <w:r>
        <w:rPr/>
        <w:t>.  Shall have the meaning as set forth in Section 22.2.”</w:t>
      </w:r>
    </w:p>
    <w:p>
      <w:pPr>
        <w:pStyle w:val="BodyText"/>
        <w:rPr/>
      </w:pPr>
      <w:r>
        <w:rPr/>
        <w:t>2.</w:t>
        <w:tab/>
        <w:t xml:space="preserve">The definition of “Lender” set forth in </w:t>
      </w:r>
      <w:r>
        <w:rPr>
          <w:rStyle w:val="underline"/>
        </w:rPr>
        <w:t>Section 1.57</w:t>
      </w:r>
      <w:r>
        <w:rPr/>
        <w:t xml:space="preserve"> of the Turbine Contract shall be deemed amended by inserting the words “or Agent” after the word “Purchaser”.</w:t>
      </w:r>
    </w:p>
    <w:p>
      <w:pPr>
        <w:pStyle w:val="BodyText"/>
        <w:rPr>
          <w:b/>
        </w:rPr>
      </w:pPr>
      <w:r>
        <w:rPr/>
        <w:t>3.</w:t>
        <w:tab/>
        <w:t xml:space="preserve">The definition of “Power Purchaser” set forth in </w:t>
      </w:r>
      <w:r>
        <w:rPr>
          <w:rStyle w:val="underline"/>
        </w:rPr>
        <w:t>Section 1.74</w:t>
      </w:r>
      <w:r>
        <w:rPr/>
        <w:t xml:space="preserve"> of the Turbine Contract shall be deemed amended by inserting the words and punctuation “, Agent or an Affiliate thereof” after the word “Purchaser” set forth in the body of such definition (but not in the term “Power Purchaser”).</w:t>
      </w:r>
    </w:p>
    <w:p>
      <w:pPr>
        <w:pStyle w:val="BodyText"/>
        <w:rPr/>
      </w:pPr>
      <w:r>
        <w:rPr/>
        <w:t>4.</w:t>
        <w:tab/>
        <w:t>The definition of “Purchaser’s Quality Assurance Manager” shall be deemed amended by deleting the word “Purchaser” and inserting the word “Agent” in lieu thereof in the body of the definition (but not in the term “Purchaser’s Quality Assurance Manager”).</w:t>
      </w:r>
    </w:p>
    <w:p>
      <w:pPr>
        <w:pStyle w:val="BodyText"/>
        <w:rPr/>
      </w:pPr>
      <w:r>
        <w:rPr/>
        <w:t>5.</w:t>
        <w:tab/>
        <w:t>The definition of “Purchaser’s Representative” shall be deemed amended by deleting the first reference to the word “Purchaser” in the body of the definition (but not in the term “Purchaser’s Representative”) and inserting the word “Agent” in lieu thereof.</w:t>
      </w:r>
    </w:p>
    <w:p>
      <w:pPr>
        <w:pStyle w:val="BodyText"/>
        <w:rPr/>
      </w:pPr>
      <w:r>
        <w:rPr/>
        <w:t>6.</w:t>
        <w:tab/>
      </w:r>
      <w:r>
        <w:rPr>
          <w:u w:val="single"/>
        </w:rPr>
        <w:t>Article 12</w:t>
      </w:r>
      <w:r>
        <w:rPr/>
        <w:t xml:space="preserve"> shall be deemed amended in its entirety to read as set forth on </w:t>
      </w:r>
      <w:r>
        <w:rPr>
          <w:rStyle w:val="underline"/>
        </w:rPr>
        <w:t>Annex I</w:t>
      </w:r>
      <w:r>
        <w:rPr/>
        <w:t xml:space="preserve"> hereto.</w:t>
      </w:r>
    </w:p>
    <w:p>
      <w:pPr>
        <w:pStyle w:val="BodyText"/>
        <w:rPr/>
      </w:pPr>
      <w:r>
        <w:rPr>
          <w:rStyle w:val="underline"/>
          <w:u w:val="none"/>
        </w:rPr>
        <w:t>7.</w:t>
        <w:tab/>
      </w:r>
      <w:r>
        <w:rPr>
          <w:rStyle w:val="underline"/>
        </w:rPr>
        <w:t>Section 15.2.2</w:t>
      </w:r>
      <w:r>
        <w:rPr/>
        <w:t xml:space="preserve"> of the Turbine Contract shall be deemed amended by inserting the word and punctuation “, Agent” after the word “Purchaser” set forth in the first sentence of such Section.</w:t>
      </w:r>
    </w:p>
    <w:p>
      <w:pPr>
        <w:pStyle w:val="BodyText"/>
        <w:rPr/>
      </w:pPr>
      <w:r>
        <w:rPr/>
        <w:t>8.</w:t>
        <w:tab/>
      </w:r>
      <w:r>
        <w:rPr>
          <w:u w:val="single"/>
        </w:rPr>
        <w:t>Section 19.1.10</w:t>
      </w:r>
      <w:r>
        <w:rPr/>
        <w:t xml:space="preserve"> shall be deemed amended in its entirety to read as set forth on </w:t>
      </w:r>
      <w:r>
        <w:rPr>
          <w:rStyle w:val="underline"/>
        </w:rPr>
        <w:t>Annex II</w:t>
      </w:r>
      <w:r>
        <w:rPr/>
        <w:t xml:space="preserve"> hereto.</w:t>
      </w:r>
    </w:p>
    <w:p>
      <w:pPr>
        <w:pStyle w:val="BodyText"/>
        <w:rPr>
          <w:u w:val="single"/>
        </w:rPr>
      </w:pPr>
      <w:r>
        <w:rPr>
          <w:rStyle w:val="underline"/>
          <w:u w:val="none"/>
        </w:rPr>
        <w:t>9.</w:t>
        <w:tab/>
      </w:r>
      <w:r>
        <w:rPr>
          <w:rStyle w:val="underline"/>
        </w:rPr>
        <w:t>Section 19.1.11</w:t>
      </w:r>
      <w:r>
        <w:rPr/>
        <w:t xml:space="preserve"> of the Turbine Contract shall be deemed amended by inserting the word and punctuation “, Agent” after the word “Purchaser” set forth in the first sentence of such Section.</w:t>
      </w:r>
    </w:p>
    <w:p>
      <w:pPr>
        <w:pStyle w:val="BodyText"/>
        <w:rPr/>
      </w:pPr>
      <w:r>
        <w:rPr/>
        <w:t>10.</w:t>
        <w:tab/>
      </w:r>
      <w:r>
        <w:rPr>
          <w:rStyle w:val="underline"/>
        </w:rPr>
        <w:t>Article 20</w:t>
      </w:r>
      <w:r>
        <w:rPr/>
        <w:t xml:space="preserve"> of the Turbine Contract shall be deemed amended in its entirety to read as set forth on </w:t>
      </w:r>
      <w:r>
        <w:rPr>
          <w:rStyle w:val="underline"/>
        </w:rPr>
        <w:t>Annex III</w:t>
      </w:r>
      <w:r>
        <w:rPr/>
        <w:t xml:space="preserve"> hereto.</w:t>
      </w:r>
    </w:p>
    <w:p>
      <w:pPr>
        <w:pStyle w:val="BodyText"/>
        <w:rPr/>
      </w:pPr>
      <w:r>
        <w:rPr/>
        <w:t>11.</w:t>
        <w:tab/>
      </w:r>
      <w:r>
        <w:rPr>
          <w:rStyle w:val="underline"/>
        </w:rPr>
        <w:t>Article 21</w:t>
      </w:r>
      <w:r>
        <w:rPr>
          <w:rStyle w:val="underline"/>
          <w:u w:val="none"/>
        </w:rPr>
        <w:t xml:space="preserve"> </w:t>
      </w:r>
      <w:r>
        <w:rPr/>
        <w:t>of the Turbine Contract</w:t>
      </w:r>
      <w:r>
        <w:rPr>
          <w:rStyle w:val="underline"/>
          <w:u w:val="none"/>
        </w:rPr>
        <w:t xml:space="preserve"> shall be deemed amended in its entirety to read as set forth on </w:t>
      </w:r>
      <w:r>
        <w:rPr>
          <w:rStyle w:val="underline"/>
        </w:rPr>
        <w:t>Annex IV</w:t>
      </w:r>
      <w:r>
        <w:rPr>
          <w:rStyle w:val="underline"/>
          <w:u w:val="none"/>
        </w:rPr>
        <w:t xml:space="preserve"> hereto and for purposes of interpretation and application of </w:t>
      </w:r>
      <w:r>
        <w:rPr>
          <w:rStyle w:val="underline"/>
        </w:rPr>
        <w:t>Article 21</w:t>
      </w:r>
      <w:r>
        <w:rPr>
          <w:rStyle w:val="underline"/>
          <w:u w:val="none"/>
        </w:rPr>
        <w:t xml:space="preserve"> (as modified by the letter agreement), the terms “party” and “parties”, except references to “third party”, shall be deemed to include a reference to Agent.</w:t>
      </w:r>
    </w:p>
    <w:p>
      <w:pPr>
        <w:pStyle w:val="BodyText"/>
        <w:rPr/>
      </w:pPr>
      <w:r>
        <w:rPr>
          <w:rStyle w:val="underline"/>
          <w:u w:val="none"/>
        </w:rPr>
        <w:t>12.</w:t>
        <w:tab/>
      </w:r>
      <w:r>
        <w:rPr>
          <w:rStyle w:val="underline"/>
        </w:rPr>
        <w:t>Section 22.2</w:t>
      </w:r>
      <w:r>
        <w:rPr/>
        <w:t xml:space="preserve"> of the Turbine Contract shall be deemed amended in its entirety to read as set forth on </w:t>
      </w:r>
      <w:r>
        <w:rPr>
          <w:rStyle w:val="underline"/>
        </w:rPr>
        <w:t>Annex V</w:t>
      </w:r>
      <w:r>
        <w:rPr/>
        <w:t xml:space="preserve"> hereto.</w:t>
      </w:r>
    </w:p>
    <w:p>
      <w:pPr>
        <w:pStyle w:val="BodyText"/>
        <w:rPr/>
      </w:pPr>
      <w:r>
        <w:rPr/>
        <w:t>13.</w:t>
        <w:tab/>
      </w:r>
      <w:r>
        <w:rPr>
          <w:u w:val="single"/>
        </w:rPr>
        <w:t>Section 25.5</w:t>
      </w:r>
      <w:r>
        <w:rPr/>
        <w:t xml:space="preserve">  shall be deemed amended in its entirety to read as set forth on </w:t>
      </w:r>
      <w:r>
        <w:rPr>
          <w:u w:val="single"/>
        </w:rPr>
        <w:t>Annex VI</w:t>
      </w:r>
      <w:r>
        <w:rPr/>
        <w:t xml:space="preserve"> hereto.</w:t>
      </w:r>
    </w:p>
    <w:p>
      <w:pPr>
        <w:pStyle w:val="BodyText"/>
        <w:rPr/>
      </w:pPr>
      <w:r>
        <w:rPr/>
        <w:t>14.</w:t>
        <w:tab/>
      </w:r>
      <w:r>
        <w:rPr>
          <w:u w:val="single"/>
        </w:rPr>
        <w:t>Article 26</w:t>
      </w:r>
      <w:r>
        <w:rPr/>
        <w:t xml:space="preserve"> </w:t>
      </w:r>
      <w:r>
        <w:rPr>
          <w:rStyle w:val="underline"/>
          <w:u w:val="none"/>
        </w:rPr>
        <w:t xml:space="preserve">of the Transformer Contract shall be deemed amended by adding Section 26.4, as set forth on </w:t>
      </w:r>
      <w:r>
        <w:rPr>
          <w:rStyle w:val="underline"/>
        </w:rPr>
        <w:t>Annex VII</w:t>
      </w:r>
      <w:r>
        <w:rPr>
          <w:rStyle w:val="underline"/>
          <w:u w:val="none"/>
        </w:rPr>
        <w:t xml:space="preserve"> hereto.</w:t>
      </w:r>
    </w:p>
    <w:p>
      <w:pPr>
        <w:pStyle w:val="BodyText"/>
        <w:rPr/>
      </w:pPr>
      <w:r>
        <w:rPr/>
        <w:t>15.</w:t>
        <w:tab/>
      </w:r>
      <w:r>
        <w:rPr>
          <w:rStyle w:val="underline"/>
        </w:rPr>
        <w:t>Section 28.7</w:t>
      </w:r>
      <w:r>
        <w:rPr/>
        <w:t xml:space="preserve"> of the Turbine Contract shall be deemed amended by inserting the word and punctuation “, Agent” after the word “Purchaser” set forth in such Section.</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unaffiliated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 xml:space="preserve">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w:t>
      </w:r>
      <w:r>
        <w:rPr>
          <w:u w:val="single"/>
        </w:rPr>
        <w:t>Article 26</w:t>
      </w:r>
      <w:r>
        <w:rPr/>
        <w:t xml:space="preserve"> of the Turbine Contract.</w:t>
      </w:r>
    </w:p>
    <w:p>
      <w:pPr>
        <w:pStyle w:val="BodyTextFirstIndent"/>
        <w:rPr/>
      </w:pPr>
      <w:r>
        <w:rPr/>
        <w:t xml:space="preserve">All notices to the Agent shall be delivered to the address set forth above in accordance with </w:t>
      </w:r>
      <w:r>
        <w:rPr>
          <w:u w:val="single"/>
        </w:rPr>
        <w:t>Article 25</w:t>
      </w:r>
      <w:r>
        <w:rPr/>
        <w:t xml:space="preserve"> of the Turbine Contract.</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SELLER</w:t>
      </w:r>
      <w:r>
        <w:rPr/>
        <w:t>:</w:t>
      </w:r>
    </w:p>
    <w:p>
      <w:pPr>
        <w:pStyle w:val="Signature"/>
        <w:spacing w:before="0" w:after="240"/>
        <w:rPr/>
      </w:pPr>
      <w:r>
        <w:rPr/>
        <w:t>GENERAL ELECTRIC COMPANY</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Caption"/>
        <w:spacing w:before="0" w:after="240"/>
        <w:rPr>
          <w:sz w:val="18"/>
        </w:rPr>
      </w:pPr>
      <w:r>
        <w:rPr>
          <w:sz w:val="18"/>
        </w:rPr>
        <w:t>Signature Page to Override Letter</w:t>
      </w:r>
    </w:p>
    <w:p>
      <w:pPr>
        <w:pStyle w:val="BodyText"/>
        <w:jc w:val="center"/>
        <w:rPr/>
      </w:pPr>
      <w:r>
        <w:rPr/>
        <w:t>ANNEX I</w:t>
      </w:r>
    </w:p>
    <w:p>
      <w:pPr>
        <w:pStyle w:val="BodyText"/>
        <w:spacing w:before="0" w:after="0"/>
        <w:jc w:val="center"/>
        <w:rPr/>
      </w:pPr>
      <w:r>
        <w:rPr/>
        <w:t>ARTICLE 12</w:t>
      </w:r>
    </w:p>
    <w:p>
      <w:pPr>
        <w:pStyle w:val="BodyText"/>
        <w:jc w:val="center"/>
        <w:rPr/>
      </w:pPr>
      <w:r>
        <w:rPr/>
        <w:t>DRUG AND ALCOHOL-FREE WORKPLACE</w:t>
      </w:r>
    </w:p>
    <w:p>
      <w:pPr>
        <w:pStyle w:val="BodyText2"/>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Agent’s drug and alcohol policy Number </w:t>
      </w:r>
      <w:r>
        <w:rPr>
          <w:bCs/>
        </w:rPr>
        <w:t>1200-2, dated September 11, 1995</w:t>
      </w:r>
      <w:r>
        <w:rPr/>
        <w:t xml:space="preserve"> including:  </w:t>
      </w:r>
    </w:p>
    <w:p>
      <w:pPr>
        <w:pStyle w:val="BodyText2"/>
        <w:rPr>
          <w:b/>
        </w:rPr>
      </w:pPr>
      <w:r>
        <w:rPr>
          <w:b/>
        </w:rPr>
      </w:r>
    </w:p>
    <w:p>
      <w:pPr>
        <w:pStyle w:val="Heading5"/>
        <w:ind w:hanging="0" w:start="0"/>
        <w:rPr/>
      </w:pPr>
      <w:r>
        <w:rPr/>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Heading5"/>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docGrid w:type="default" w:linePitch="360" w:charSpace="0"/>
        </w:sectPr>
        <w:pStyle w:val="Heading5"/>
        <w:ind w:hanging="0" w:start="0"/>
        <w:rPr/>
      </w:pPr>
      <w:r>
        <w:rPr/>
        <w:t xml:space="preserve">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 </w:t>
      </w:r>
    </w:p>
    <w:p>
      <w:pPr>
        <w:pStyle w:val="rightjust"/>
        <w:jc w:val="center"/>
        <w:rPr/>
      </w:pPr>
      <w:r>
        <w:rPr/>
        <w:t>ANNEX II</w:t>
      </w:r>
    </w:p>
    <w:p>
      <w:pPr>
        <w:pStyle w:val="Caption"/>
        <w:rPr/>
      </w:pPr>
      <w:r>
        <w:rPr/>
      </w:r>
    </w:p>
    <w:p>
      <w:pPr>
        <w:pStyle w:val="Heading3"/>
        <w:numPr>
          <w:ilvl w:val="0"/>
          <w:numId w:val="0"/>
        </w:numPr>
        <w:tabs>
          <w:tab w:val="clear" w:pos="720"/>
          <w:tab w:val="left" w:pos="360" w:leader="none"/>
        </w:tabs>
        <w:ind w:hanging="0" w:start="0"/>
        <w:rPr>
          <w:vanish/>
        </w:rPr>
      </w:pPr>
      <w:r>
        <w:rPr/>
        <w:t xml:space="preserve">19.1.10 </w:t>
      </w:r>
      <w:r>
        <w:rPr>
          <w:u w:val="single"/>
        </w:rPr>
        <w:t>Other Requirements</w:t>
      </w:r>
      <w:commentRangeStart w:id="0"/>
      <w:r>
        <w:rPr>
          <w:vanish/>
          <w:color w:val="FF0000"/>
        </w:rPr>
        <w:t>»</w:t>
      </w:r>
      <w:commentRangeEnd w:id="0"/>
      <w:r>
        <w:commentReference w:id="0"/>
      </w:r>
      <w:r>
        <w:rPr>
          <w:vanish w:val="false"/>
        </w:rPr>
      </w:r>
    </w:p>
    <w:p>
      <w:pPr>
        <w:pStyle w:val="Para3"/>
        <w:rPr/>
      </w:pPr>
      <w:r>
        <w:rPr/>
        <w:t>.  Seller shall be responsible for the payment of all deductible and self insurance retention amounts with respect to the insurance required to be maintained by it pursuant to this Agreement, and all Seller policies shall apply as primary insurance without right of contribution of similar policies which may be maintained by Purchaser.  All Seller insurance shall:</w:t>
      </w:r>
    </w:p>
    <w:p>
      <w:pPr>
        <w:pStyle w:val="Heading5"/>
        <w:numPr>
          <w:ilvl w:val="0"/>
          <w:numId w:val="0"/>
        </w:numPr>
        <w:tabs>
          <w:tab w:val="clear" w:pos="720"/>
          <w:tab w:val="left" w:pos="1440" w:leader="none"/>
        </w:tabs>
        <w:ind w:hanging="720" w:start="1440" w:end="0"/>
        <w:rPr/>
      </w:pPr>
      <w:r>
        <w:rPr/>
        <w:t>(a)</w:t>
        <w:tab/>
        <w:t>specify Purchaser, Agent and Lender, and such other parties as Purchaser may require as additional insured for all insurance coverage other than Worker’s Compensation Insurance, or its equivalent as required in jurisdictions other than the United States;</w:t>
      </w:r>
    </w:p>
    <w:p>
      <w:pPr>
        <w:pStyle w:val="Heading5"/>
        <w:numPr>
          <w:ilvl w:val="0"/>
          <w:numId w:val="0"/>
        </w:numPr>
        <w:tabs>
          <w:tab w:val="clear" w:pos="720"/>
          <w:tab w:val="left" w:pos="1440" w:leader="none"/>
        </w:tabs>
        <w:ind w:hanging="720" w:start="1440" w:end="0"/>
        <w:rPr/>
      </w:pPr>
      <w:r>
        <w:rPr/>
        <w:t>(b)</w:t>
        <w:tab/>
        <w:t>provide that Purchaser shall have the right, but not any obligation, to pay any premiums if Seller shall fail to do so, and such payment of premiums by Purchaser shall be at Seller’s expense, either by direct charge or setoff;</w:t>
      </w:r>
    </w:p>
    <w:p>
      <w:pPr>
        <w:pStyle w:val="Heading5"/>
        <w:numPr>
          <w:ilvl w:val="0"/>
          <w:numId w:val="0"/>
        </w:numPr>
        <w:tabs>
          <w:tab w:val="clear" w:pos="720"/>
          <w:tab w:val="left" w:pos="1440" w:leader="none"/>
        </w:tabs>
        <w:ind w:hanging="720" w:start="1440" w:end="0"/>
        <w:rPr/>
      </w:pPr>
      <w:r>
        <w:rPr/>
        <w:t>(c)</w:t>
        <w:tab/>
        <w:t>for all insurance coverage related to Scope of Work, waive any right of subrogation against Purchaser, Agent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Agent or Lender, or any other named or additional insured; and</w:t>
      </w:r>
    </w:p>
    <w:p>
      <w:pPr>
        <w:sectPr>
          <w:headerReference w:type="defaul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Heading5"/>
        <w:numPr>
          <w:ilvl w:val="0"/>
          <w:numId w:val="0"/>
        </w:numPr>
        <w:tabs>
          <w:tab w:val="clear" w:pos="720"/>
          <w:tab w:val="left" w:pos="1440" w:leader="none"/>
        </w:tabs>
        <w:ind w:hanging="720" w:start="1440" w:end="0"/>
        <w:rPr/>
      </w:pPr>
      <w:r>
        <w:rPr/>
        <w:t>(d)</w:t>
        <w:tab/>
        <w:t>for all other insurance other than as stated in (c) immediately above, waive any right of subrogation against Purchaser, Agent, Lender and all other named and additional insured and any other right of the insurer to any setoff or counterclaim or any other deduction, whether by attachment or otherwise, in respect of Purchaser, or any other named or additional insured.</w:t>
      </w:r>
    </w:p>
    <w:p>
      <w:pPr>
        <w:pStyle w:val="Caption"/>
        <w:rPr/>
      </w:pPr>
      <w:r>
        <w:rPr/>
        <w:t>ANNEX III</w:t>
      </w:r>
    </w:p>
    <w:p>
      <w:pPr>
        <w:pStyle w:val="Normal"/>
        <w:rPr/>
      </w:pPr>
      <w:r>
        <w:rPr/>
      </w:r>
    </w:p>
    <w:p>
      <w:pPr>
        <w:pStyle w:val="Caption"/>
        <w:rPr/>
      </w:pPr>
      <w:r>
        <w:rPr/>
        <w:t>ARTICLE 20</w:t>
      </w:r>
    </w:p>
    <w:p>
      <w:pPr>
        <w:pStyle w:val="Caption"/>
        <w:spacing w:before="0" w:after="240"/>
        <w:rPr/>
      </w:pPr>
      <w:r>
        <w:rPr/>
        <w:t xml:space="preserve">  </w:t>
      </w:r>
      <w:r>
        <w:rPr/>
        <w:t>INDEMNIFICATION</w:t>
      </w:r>
    </w:p>
    <w:p>
      <w:pPr>
        <w:pStyle w:val="Heading2"/>
        <w:tabs>
          <w:tab w:val="clear" w:pos="720"/>
          <w:tab w:val="left" w:pos="0" w:leader="none"/>
        </w:tabs>
        <w:ind w:hanging="0" w:start="0" w:end="0"/>
        <w:rPr>
          <w:vanish/>
        </w:rPr>
      </w:pPr>
      <w:r>
        <w:rPr/>
        <w:t>20.1</w:t>
        <w:tab/>
      </w:r>
      <w:r>
        <w:rPr>
          <w:u w:val="single"/>
        </w:rPr>
        <w:t>Definitions</w:t>
      </w:r>
      <w:commentRangeStart w:id="1"/>
      <w:r>
        <w:rPr>
          <w:vanish/>
          <w:color w:val="FF0000"/>
        </w:rPr>
        <w:t>»</w:t>
      </w:r>
      <w:commentRangeEnd w:id="1"/>
      <w:r>
        <w:commentReference w:id="1"/>
      </w:r>
      <w:r>
        <w:rPr>
          <w:vanish w:val="false"/>
        </w:rPr>
      </w:r>
    </w:p>
    <w:p>
      <w:pPr>
        <w:pStyle w:val="Para2"/>
        <w:rPr/>
      </w:pPr>
      <w:r>
        <w:rPr/>
        <w:t>.</w:t>
        <w:tab/>
        <w:t>The following defined terms shall apply with respect to the Parties obligations under this Article 20:</w:t>
      </w:r>
    </w:p>
    <w:p>
      <w:pPr>
        <w:pStyle w:val="Heading5"/>
        <w:ind w:hanging="0" w:start="0"/>
        <w:rPr/>
      </w:pPr>
      <w:r>
        <w:rPr/>
        <w:t>“</w:t>
      </w:r>
      <w:r>
        <w:rPr/>
        <w:t>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w:t>
      </w:r>
    </w:p>
    <w:p>
      <w:pPr>
        <w:pStyle w:val="Heading5"/>
        <w:ind w:hanging="0" w:start="0"/>
        <w:rPr/>
      </w:pPr>
      <w:r>
        <w:rPr/>
        <w:t>“</w:t>
      </w:r>
      <w:r>
        <w:rPr/>
        <w:t>Purchaser Indemnified Party” shall mean Purchaser, Purchaser’s Affiliates, Agent, Agent’s Affiliates, Lender, and their respective employees, officers, directors, agents, subcontractors and representatives.</w:t>
      </w:r>
    </w:p>
    <w:p>
      <w:pPr>
        <w:pStyle w:val="Heading5"/>
        <w:ind w:hanging="0" w:start="0"/>
        <w:rPr/>
      </w:pPr>
      <w:r>
        <w:rPr/>
        <w:t>“</w:t>
      </w:r>
      <w:r>
        <w:rPr/>
        <w:t>Seller Indemnifying Party” shall mean Seller, Seller’s Affiliates, and their respective employees, officers, directors, agents, subcontractors and representatives.</w:t>
      </w:r>
    </w:p>
    <w:p>
      <w:pPr>
        <w:pStyle w:val="Heading5"/>
        <w:ind w:hanging="0" w:start="0"/>
        <w:rPr/>
      </w:pPr>
      <w:r>
        <w:rPr/>
        <w:t>“</w:t>
      </w:r>
      <w:r>
        <w:rPr/>
        <w:t>Third Party” shall mean any natural person, corporation, company, partnership (general or limited), limited liability company, business trust, or other entity or association other than a Purchaser Indemnified Party.</w:t>
      </w:r>
    </w:p>
    <w:p>
      <w:pPr>
        <w:pStyle w:val="Heading2"/>
        <w:tabs>
          <w:tab w:val="clear" w:pos="720"/>
          <w:tab w:val="left" w:pos="0" w:leader="none"/>
        </w:tabs>
        <w:ind w:hanging="0" w:start="0" w:end="0"/>
        <w:rPr>
          <w:vanish/>
        </w:rPr>
      </w:pPr>
      <w:r>
        <w:rPr/>
        <w:t>20.2</w:t>
        <w:tab/>
      </w:r>
      <w:r>
        <w:rPr>
          <w:u w:val="single"/>
        </w:rPr>
        <w:t>Seller Indemnity</w:t>
      </w:r>
      <w:commentRangeStart w:id="2"/>
      <w:r>
        <w:rPr>
          <w:vanish/>
          <w:color w:val="FF0000"/>
        </w:rPr>
        <w:t>»</w:t>
      </w:r>
      <w:commentRangeEnd w:id="2"/>
      <w:r>
        <w:commentReference w:id="2"/>
      </w:r>
      <w:r>
        <w:rPr>
          <w:vanish w:val="false"/>
        </w:rPr>
      </w:r>
    </w:p>
    <w:p>
      <w:pPr>
        <w:pStyle w:val="Para2"/>
        <w:rPr/>
      </w:pPr>
      <w:r>
        <w:rPr/>
        <w:t>.</w:t>
        <w:tab/>
        <w:t>Seller agrees to indemnify, protect, defend and hold harmless each Purchaser Indemnified Party from and against the following:</w:t>
      </w:r>
    </w:p>
    <w:p>
      <w:pPr>
        <w:pStyle w:val="Heading5"/>
        <w:ind w:hanging="0" w:start="0"/>
        <w:rPr/>
      </w:pPr>
      <w:r>
        <w:rPr/>
        <w:t>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w:t>
      </w:r>
    </w:p>
    <w:p>
      <w:pPr>
        <w:pStyle w:val="Heading5"/>
        <w:ind w:hanging="0" w:start="0"/>
        <w:rPr/>
      </w:pPr>
      <w:r>
        <w:rPr/>
        <w:t>each and every Claim resulting from Seller’s failure to comply with the provisions of Section 3.4 (Hazardous Materials Notification);</w:t>
      </w:r>
    </w:p>
    <w:p>
      <w:pPr>
        <w:pStyle w:val="Heading5"/>
        <w:ind w:hanging="0" w:start="0"/>
        <w:rPr/>
      </w:pPr>
      <w:r>
        <w:rPr/>
        <w:t>each and every Claim for fines or similar penalties imposed by a cognizant government, and associated damages, costs, losses and expense, resulting from Seller’s failure to comply with the provisions of Section 3.6 (Compliance with Governmental Rules and the Requirements of this Agreement);</w:t>
      </w:r>
    </w:p>
    <w:p>
      <w:pPr>
        <w:pStyle w:val="Heading5"/>
        <w:ind w:hanging="0" w:start="0"/>
        <w:rPr/>
      </w:pPr>
      <w:r>
        <w:rPr/>
        <w:t>each and every Claim resulting from Seller’s failure to comply with the provisions of Section 6.5 (Lien Release) and Article 24 (Liens and Claims); and</w:t>
      </w:r>
    </w:p>
    <w:p>
      <w:pPr>
        <w:pStyle w:val="Heading5"/>
        <w:ind w:hanging="0" w:start="0"/>
        <w:rPr/>
      </w:pPr>
      <w:r>
        <w:rPr/>
        <w:t>each and every Claim resulting from Seller’s failure to comply with the provisions of Section 15.2.2 (Infringement Cures and Defense).</w:t>
      </w:r>
    </w:p>
    <w:p>
      <w:pPr>
        <w:pStyle w:val="Heading2"/>
        <w:tabs>
          <w:tab w:val="clear" w:pos="720"/>
          <w:tab w:val="left" w:pos="0" w:leader="none"/>
        </w:tabs>
        <w:spacing w:before="0" w:after="0"/>
        <w:ind w:hanging="0" w:start="0" w:end="0"/>
        <w:rPr>
          <w:vanish/>
        </w:rPr>
      </w:pPr>
      <w:r>
        <w:rPr/>
        <w:t>20.3</w:t>
        <w:tab/>
      </w:r>
      <w:r>
        <w:rPr>
          <w:u w:val="single"/>
        </w:rPr>
        <w:t>Comparative Fault</w:t>
      </w:r>
      <w:commentRangeStart w:id="3"/>
      <w:r>
        <w:rPr>
          <w:vanish/>
          <w:color w:val="FF0000"/>
        </w:rPr>
        <w:t>»</w:t>
      </w:r>
      <w:commentRangeEnd w:id="3"/>
      <w:r>
        <w:commentReference w:id="3"/>
      </w:r>
      <w:r>
        <w:rPr>
          <w:vanish w:val="false"/>
        </w:rPr>
      </w:r>
    </w:p>
    <w:p>
      <w:pPr>
        <w:pStyle w:val="BodyText"/>
        <w:rPr/>
      </w:pPr>
      <w:r>
        <w:rPr/>
        <w:t>.  Seller’s contractual obligations of indemnification under this Article 20 shall apply even if due in whole or in part to Purchaser’s and/or Agent’s concurrent negligence, fault, breach of contract or warranty, or strict liability without regard to fault; provided, however, that such contractual obligation of indemnification shall not extend to the percentage of the damages or injuries attributable to Purchaser’s and/or Agent’s negligence, fault, breach of contract or warranty, or to strict liability without regard to fault imposed as a matter of law. In the event that both Seller and Purchaser and/or Agent are negligent, at fault or strictly liable without fault with respect to damage or injuries for which the provisions of this Article 20 apply, then the Seller’s contractual obligations of indemnification shall still continue but Seller shall indemnify Purchaser and/or Agent only for the percentage of responsibility of the damage or injuries adjudicated to be attributed to Seller.</w:t>
      </w:r>
    </w:p>
    <w:p>
      <w:pPr>
        <w:pStyle w:val="Heading2"/>
        <w:tabs>
          <w:tab w:val="clear" w:pos="720"/>
          <w:tab w:val="left" w:pos="0" w:leader="none"/>
        </w:tabs>
        <w:ind w:hanging="0" w:start="0" w:end="0"/>
        <w:rPr>
          <w:vanish/>
        </w:rPr>
      </w:pPr>
      <w:r>
        <w:rPr/>
        <w:t>20.4</w:t>
        <w:tab/>
      </w:r>
      <w:r>
        <w:rPr>
          <w:u w:val="single"/>
        </w:rPr>
        <w:t>Insurance</w:t>
      </w:r>
      <w:commentRangeStart w:id="4"/>
      <w:r>
        <w:rPr>
          <w:vanish/>
          <w:color w:val="FF0000"/>
        </w:rPr>
        <w:t>»</w:t>
      </w:r>
      <w:commentRangeEnd w:id="4"/>
      <w:r>
        <w:commentReference w:id="4"/>
      </w:r>
      <w:r>
        <w:rPr>
          <w:vanish w:val="false"/>
        </w:rPr>
      </w:r>
    </w:p>
    <w:p>
      <w:pPr>
        <w:pStyle w:val="BodyText"/>
        <w:rPr/>
      </w:pPr>
      <w:r>
        <w:rPr/>
        <w:t>.  Seller’s indemnification obligations under this Article 20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Heading2"/>
        <w:tabs>
          <w:tab w:val="clear" w:pos="720"/>
          <w:tab w:val="left" w:pos="0" w:leader="none"/>
        </w:tabs>
        <w:ind w:hanging="0" w:start="0" w:end="0"/>
        <w:rPr>
          <w:vanish/>
        </w:rPr>
      </w:pPr>
      <w:r>
        <w:rPr/>
        <w:t>20.5</w:t>
        <w:tab/>
      </w:r>
      <w:r>
        <w:rPr>
          <w:u w:val="single"/>
        </w:rPr>
        <w:t>Notice and Litigation</w:t>
      </w:r>
      <w:commentRangeStart w:id="5"/>
      <w:r>
        <w:rPr>
          <w:vanish/>
          <w:color w:val="FF0000"/>
        </w:rPr>
        <w:t>»</w:t>
      </w:r>
      <w:commentRangeEnd w:id="5"/>
      <w:r>
        <w:commentReference w:id="5"/>
      </w:r>
      <w:r>
        <w:rPr>
          <w:vanish w:val="false"/>
        </w:rPr>
      </w:r>
    </w:p>
    <w:p>
      <w:pPr>
        <w:pStyle w:val="BodyText"/>
        <w:rPr/>
      </w:pPr>
      <w:r>
        <w:rPr/>
        <w:t>.  It is a condition precedent to the Seller’s contractual obligations of indemnification under this Article 20 that Agent shall provide written notice of a Claim promptly after such Claim is received by Purchaser or Agent. It is further a condition precedent to the Seller’s contractual obligations of indemnification under this Article 20 that Seller shall thereafter have the right to participate in the investigation, defense and resolution of such Claim so long as the same does not impair Purchaser’s or Agent’s rights and interests.</w:t>
      </w:r>
    </w:p>
    <w:p>
      <w:pPr>
        <w:pStyle w:val="Heading2"/>
        <w:tabs>
          <w:tab w:val="clear" w:pos="720"/>
          <w:tab w:val="left" w:pos="0" w:leader="none"/>
        </w:tabs>
        <w:ind w:hanging="0" w:start="0" w:end="0"/>
        <w:rPr>
          <w:vanish/>
        </w:rPr>
      </w:pPr>
      <w:r>
        <w:rPr/>
        <w:t>20.6</w:t>
        <w:tab/>
      </w:r>
      <w:r>
        <w:rPr>
          <w:u w:val="single"/>
        </w:rPr>
        <w:t>Survival of Obligations</w:t>
      </w:r>
      <w:commentRangeStart w:id="6"/>
      <w:r>
        <w:rPr>
          <w:vanish/>
          <w:color w:val="FF0000"/>
        </w:rPr>
        <w:t>»</w:t>
      </w:r>
      <w:commentRangeEnd w:id="6"/>
      <w:r>
        <w:commentReference w:id="6"/>
      </w:r>
      <w:r>
        <w:rPr>
          <w:vanish w:val="false"/>
        </w:rPr>
      </w:r>
    </w:p>
    <w:p>
      <w:pPr>
        <w:sectPr>
          <w:headerReference w:type="default" r:id="rId15"/>
          <w:headerReference w:type="first" r:id="rId16"/>
          <w:footerReference w:type="default" r:id="rId17"/>
          <w:footerReference w:type="first" r:id="rId18"/>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pPr>
      <w:r>
        <w:rPr/>
        <w:t>.  The obligations to indemnify under this Article 20 will continue in full force and effect notwithstanding the expiration or termination of this Agreement.</w:t>
      </w:r>
    </w:p>
    <w:p>
      <w:pPr>
        <w:pStyle w:val="rightjust"/>
        <w:jc w:val="center"/>
        <w:rPr/>
      </w:pPr>
      <w:r>
        <w:rPr/>
        <w:t>ANNEX IV</w:t>
      </w:r>
    </w:p>
    <w:p>
      <w:pPr>
        <w:pStyle w:val="Caption"/>
        <w:rPr/>
      </w:pPr>
      <w:r>
        <w:rPr/>
        <w:t>ARTICLE 21</w:t>
      </w:r>
    </w:p>
    <w:p>
      <w:pPr>
        <w:pStyle w:val="Caption"/>
        <w:spacing w:before="0" w:after="240"/>
        <w:rPr/>
      </w:pPr>
      <w:r>
        <w:rPr/>
        <w:t xml:space="preserve">  </w:t>
      </w:r>
      <w:r>
        <w:rPr/>
        <w:t>NON-DISCLOSURE OF INFORMATION</w:t>
      </w:r>
    </w:p>
    <w:p>
      <w:pPr>
        <w:pStyle w:val="Heading2"/>
        <w:tabs>
          <w:tab w:val="clear" w:pos="720"/>
          <w:tab w:val="left" w:pos="0" w:leader="none"/>
        </w:tabs>
        <w:ind w:hanging="720" w:start="720" w:end="0"/>
        <w:rPr>
          <w:vanish/>
        </w:rPr>
      </w:pPr>
      <w:r>
        <w:rPr/>
        <w:t>21.1</w:t>
        <w:tab/>
      </w:r>
      <w:r>
        <w:rPr>
          <w:u w:val="single"/>
        </w:rPr>
        <w:t>Proprietary Information</w:t>
      </w:r>
      <w:commentRangeStart w:id="7"/>
      <w:r>
        <w:rPr>
          <w:vanish/>
          <w:color w:val="FF0000"/>
        </w:rPr>
        <w:t>»</w:t>
      </w:r>
      <w:commentRangeEnd w:id="7"/>
      <w:r>
        <w:commentReference w:id="7"/>
      </w:r>
      <w:r>
        <w:rPr>
          <w:vanish w:val="false"/>
        </w:rPr>
      </w:r>
    </w:p>
    <w:p>
      <w:pPr>
        <w:pStyle w:val="Para2"/>
        <w:rPr/>
      </w:pPr>
      <w:r>
        <w:rPr/>
        <w:t>.  Without prejudice to Sections 21.3 and 21.4, any information concerning the parties which is designated in writing as proprietary and/or confidential and disclosed to any other party incident to the performance of the Scope of Work pursuant to this Agreement in confidence shall not be published or otherwise disclosed it to others without the written approval of the disclosing party, provided, however, that nothing herein shall limit either party’s rights to disclose data which:</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w:t>
      </w:r>
    </w:p>
    <w:p>
      <w:pPr>
        <w:pStyle w:val="BodyText2"/>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  Furthermore, any party may provide any such information to any governmental authority having jurisdiction and asserting a right to obtain such information, but only to the extent required to do so by law. This clause shall survive the termination of this Agreement.</w:t>
      </w:r>
    </w:p>
    <w:p>
      <w:pPr>
        <w:pStyle w:val="BodyText2"/>
        <w:rPr/>
      </w:pPr>
      <w:r>
        <w:rPr/>
      </w:r>
    </w:p>
    <w:p>
      <w:pPr>
        <w:pStyle w:val="Heading2"/>
        <w:tabs>
          <w:tab w:val="clear" w:pos="720"/>
          <w:tab w:val="left" w:pos="0" w:leader="none"/>
        </w:tabs>
        <w:ind w:hanging="720" w:start="720" w:end="0"/>
        <w:rPr>
          <w:vanish/>
        </w:rPr>
      </w:pPr>
      <w:r>
        <w:rPr>
          <w:vanish/>
        </w:rPr>
      </w:r>
    </w:p>
    <w:p>
      <w:pPr>
        <w:pStyle w:val="Heading2"/>
        <w:tabs>
          <w:tab w:val="clear" w:pos="720"/>
          <w:tab w:val="left" w:pos="0" w:leader="none"/>
        </w:tabs>
        <w:ind w:hanging="720" w:start="720" w:end="0"/>
        <w:rPr>
          <w:vanish/>
        </w:rPr>
      </w:pPr>
      <w:r>
        <w:rPr/>
        <w:t>20.2</w:t>
        <w:tab/>
      </w:r>
      <w:r>
        <w:rPr>
          <w:u w:val="single"/>
        </w:rPr>
        <w:t>Press Releases</w:t>
      </w:r>
      <w:commentRangeStart w:id="8"/>
      <w:r>
        <w:rPr>
          <w:vanish/>
          <w:color w:val="FF0000"/>
        </w:rPr>
        <w:t>»</w:t>
      </w:r>
      <w:commentRangeEnd w:id="8"/>
      <w:r>
        <w:commentReference w:id="8"/>
      </w:r>
      <w:r>
        <w:rPr>
          <w:vanish w:val="false"/>
        </w:rPr>
      </w:r>
    </w:p>
    <w:p>
      <w:pPr>
        <w:pStyle w:val="Para2"/>
        <w:rPr/>
      </w:pPr>
      <w:r>
        <w:rPr/>
        <w:t>.  The parties agrees that it is in their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parties’ written release to do so.</w:t>
      </w:r>
    </w:p>
    <w:p>
      <w:pPr>
        <w:pStyle w:val="Heading2"/>
        <w:tabs>
          <w:tab w:val="clear" w:pos="720"/>
          <w:tab w:val="left" w:pos="0" w:leader="none"/>
        </w:tabs>
        <w:ind w:hanging="0" w:start="0" w:end="0"/>
        <w:rPr>
          <w:vanish/>
        </w:rPr>
      </w:pPr>
      <w:r>
        <w:rPr/>
        <w:t>20.3</w:t>
        <w:tab/>
      </w:r>
      <w:r>
        <w:rPr>
          <w:u w:val="single"/>
        </w:rPr>
        <w:t>Confidentiality</w:t>
      </w:r>
      <w:commentRangeStart w:id="9"/>
      <w:r>
        <w:rPr>
          <w:vanish/>
          <w:color w:val="FF0000"/>
        </w:rPr>
        <w:t>»</w:t>
      </w:r>
      <w:commentRangeEnd w:id="9"/>
      <w:r>
        <w:commentReference w:id="9"/>
      </w:r>
      <w:r>
        <w:rPr>
          <w:vanish w:val="false"/>
        </w:rPr>
      </w:r>
    </w:p>
    <w:p>
      <w:pPr>
        <w:pStyle w:val="Para2"/>
        <w:rPr/>
      </w:pPr>
      <w:r>
        <w:rPr/>
        <w:t>.  Seller acknowledges that the businesses of Purchaser and Agent are highly competitive and that Purchaser’s and Agent’s books, records, documents and technical information concerning their respective products, equipment, services, processes, procurement procedures, pricing techniques, the names of and other information (such as credit and financial data) concerning Purchaser’s and Agent’s customers and business affiliates, all comprise confidential business information and trade secrets of Purchaser and Agent, as applicable, which are valuable, special and unique proprietary assets.  Seller further acknowledges that protection of both Purchaser’s and Agent’s confidential business information and trade secrets against unauthorized disclosure and use is of critical importance to both Purchaser and Agent in maintaining their respective competitive position.  Accordingly, Seller hereby agrees that it will not, at any time during or after the term of this Agreement, make any unauthorized disclosure of any confidential business information or trade secrets of Purchaser or Agent or make any use thereof, except for the benefit of, and on behalf of, Purchaser or Agent.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and/or Agent, as applicable,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and/or Agent, as applicable, including recovery of damages from Seller.  For the purposes of this paragraph, the term “Purchaser” and “Agent” shall also include Affiliates of both Purchaser and Agent.</w:t>
      </w:r>
    </w:p>
    <w:p>
      <w:pPr>
        <w:pStyle w:val="BodyText2"/>
        <w:rPr/>
      </w:pPr>
      <w:r>
        <w:rPr/>
        <w:t>Seller shall deliver to Purchaser all Purchaser confidential information, and to Agent all Agent confidential information, provided or disclosed to or used or acquired by Seller, including all information developed, derived, or created therefrom, or portions thereof, upon the earlier of:</w:t>
      </w:r>
    </w:p>
    <w:p>
      <w:pPr>
        <w:pStyle w:val="BodyText2"/>
        <w:rPr/>
      </w:pPr>
      <w:r>
        <w:rPr/>
      </w:r>
    </w:p>
    <w:p>
      <w:pPr>
        <w:pStyle w:val="Heading5"/>
        <w:ind w:hanging="0" w:start="0"/>
        <w:rPr/>
      </w:pPr>
      <w:r>
        <w:rPr/>
        <w:t>the ending of the need for the information for performance of the Scope of Work;</w:t>
      </w:r>
    </w:p>
    <w:p>
      <w:pPr>
        <w:pStyle w:val="Heading5"/>
        <w:ind w:hanging="0" w:start="0"/>
        <w:rPr/>
      </w:pPr>
      <w:r>
        <w:rPr/>
        <w:t>Purchaser’s or Agent’s request, as applicable;</w:t>
      </w:r>
    </w:p>
    <w:p>
      <w:pPr>
        <w:pStyle w:val="Heading5"/>
        <w:ind w:hanging="0" w:start="0"/>
        <w:rPr/>
      </w:pPr>
      <w:r>
        <w:rPr/>
        <w:t>the completion of the Scope of Work for which it was provided, disclosed used or acquired; or</w:t>
      </w:r>
    </w:p>
    <w:p>
      <w:pPr>
        <w:pStyle w:val="Heading5"/>
        <w:ind w:hanging="0" w:start="0"/>
        <w:rPr/>
      </w:pPr>
      <w:r>
        <w:rPr/>
        <w:t>cancellation, termination or suspension of this Agreement.</w:t>
      </w:r>
    </w:p>
    <w:p>
      <w:pPr>
        <w:pStyle w:val="BodyText2"/>
        <w:rPr/>
      </w:pPr>
      <w:r>
        <w:rPr/>
        <w:t>Seller may retain a single copy of all information upon which its Scope of Work is based for record purposes only.  In the event Seller, with Purchaser’s or Agent’s consent, as applicable, releases Purchaser’s or Agent’s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w:t>
      </w:r>
    </w:p>
    <w:p>
      <w:pPr>
        <w:pStyle w:val="BodyText2"/>
        <w:rPr/>
      </w:pPr>
      <w:r>
        <w:rPr/>
      </w:r>
    </w:p>
    <w:p>
      <w:pPr>
        <w:pStyle w:val="BodyText2"/>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 or Agent, as applicable.</w:t>
      </w:r>
    </w:p>
    <w:p>
      <w:pPr>
        <w:pStyle w:val="BodyText2"/>
        <w:rPr/>
      </w:pPr>
      <w:r>
        <w:rPr/>
      </w:r>
    </w:p>
    <w:p>
      <w:pPr>
        <w:pStyle w:val="BodyText2"/>
        <w:rPr/>
      </w:pPr>
      <w:r>
        <w:rPr/>
        <w:t>Either party shall be entitled to disclose the terms and conditions of this Agreement and any data or information acquired by it under or pursuant to this Agreement without the prior consent of the other party:</w:t>
      </w:r>
    </w:p>
    <w:p>
      <w:pPr>
        <w:pStyle w:val="BodyText2"/>
        <w:rPr/>
      </w:pPr>
      <w:r>
        <w:rPr/>
      </w:r>
    </w:p>
    <w:p>
      <w:pPr>
        <w:pStyle w:val="Heading6"/>
        <w:numPr>
          <w:ilvl w:val="0"/>
          <w:numId w:val="5"/>
        </w:numPr>
        <w:tabs>
          <w:tab w:val="left" w:pos="720" w:leader="none"/>
        </w:tabs>
        <w:ind w:hanging="0" w:start="720" w:end="0"/>
        <w:rPr/>
      </w:pPr>
      <w:r>
        <w:rPr/>
        <w:t>to any Affiliate of such party;</w:t>
      </w:r>
    </w:p>
    <w:p>
      <w:pPr>
        <w:pStyle w:val="Heading6"/>
        <w:numPr>
          <w:ilvl w:val="0"/>
          <w:numId w:val="5"/>
        </w:numPr>
        <w:tabs>
          <w:tab w:val="clear" w:pos="720"/>
          <w:tab w:val="left" w:pos="1440" w:leader="none"/>
        </w:tabs>
        <w:ind w:hanging="720" w:start="1440" w:end="0"/>
        <w:rPr/>
      </w:pPr>
      <w:r>
        <w:rPr/>
        <w:t>to any outside consultants or advisers engaged by or on behalf of such party in connection with the Scope of Work or the financing or operation of the Facility and acting in that capacity;</w:t>
      </w:r>
    </w:p>
    <w:p>
      <w:pPr>
        <w:pStyle w:val="Heading6"/>
        <w:numPr>
          <w:ilvl w:val="0"/>
          <w:numId w:val="5"/>
        </w:numPr>
        <w:tabs>
          <w:tab w:val="clear" w:pos="720"/>
          <w:tab w:val="left" w:pos="1440" w:leader="none"/>
        </w:tabs>
        <w:ind w:hanging="720" w:start="1440" w:end="0"/>
        <w:rPr/>
      </w:pPr>
      <w:r>
        <w:rPr/>
        <w:t>to any operator of the Facility, Lenders or permitted assignees;</w:t>
      </w:r>
    </w:p>
    <w:p>
      <w:pPr>
        <w:pStyle w:val="Heading6"/>
        <w:numPr>
          <w:ilvl w:val="0"/>
          <w:numId w:val="5"/>
        </w:numPr>
        <w:tabs>
          <w:tab w:val="clear" w:pos="720"/>
          <w:tab w:val="left" w:pos="1440" w:leader="none"/>
        </w:tabs>
        <w:ind w:hanging="720" w:start="1440" w:end="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any party under the Agreement; or</w:t>
      </w:r>
    </w:p>
    <w:p>
      <w:pPr>
        <w:pStyle w:val="Heading5"/>
        <w:ind w:hanging="0" w:start="0"/>
        <w:rPr/>
      </w:pPr>
      <w:r>
        <w:rPr/>
        <w:t>to directors, employees and officers of such party;</w:t>
      </w:r>
    </w:p>
    <w:p>
      <w:pPr>
        <w:pStyle w:val="BodyText2"/>
        <w:rPr/>
      </w:pPr>
      <w:r>
        <w:rPr/>
        <w:t>provided that:</w:t>
      </w:r>
    </w:p>
    <w:p>
      <w:pPr>
        <w:pStyle w:val="BodyText2"/>
        <w:rPr/>
      </w:pPr>
      <w:r>
        <w:rPr/>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21.</w:t>
      </w:r>
    </w:p>
    <w:p>
      <w:pPr>
        <w:pStyle w:val="Heading2"/>
        <w:tabs>
          <w:tab w:val="clear" w:pos="720"/>
          <w:tab w:val="left" w:pos="0" w:leader="none"/>
        </w:tabs>
        <w:ind w:hanging="0" w:start="0" w:end="0"/>
        <w:rPr>
          <w:vanish/>
        </w:rPr>
      </w:pPr>
      <w:r>
        <w:rPr/>
        <w:t>21.4</w:t>
        <w:tab/>
      </w:r>
      <w:r>
        <w:rPr>
          <w:u w:val="single"/>
        </w:rPr>
        <w:t>Disclosure of Contract Details</w:t>
      </w:r>
      <w:commentRangeStart w:id="10"/>
      <w:r>
        <w:rPr>
          <w:vanish/>
          <w:color w:val="FF0000"/>
        </w:rPr>
        <w:t>»</w:t>
      </w:r>
      <w:commentRangeEnd w:id="10"/>
      <w:r>
        <w:commentReference w:id="10"/>
      </w:r>
      <w:r>
        <w:rPr>
          <w:vanish w:val="false"/>
        </w:rPr>
      </w:r>
    </w:p>
    <w:p>
      <w:pPr>
        <w:pStyle w:val="rightjust"/>
        <w:jc w:val="both"/>
        <w:rPr/>
      </w:pPr>
      <w:r>
        <w:rPr/>
        <w:t>.  The documents which constitute this Agreement and the contents thereof shall be deemed to be confidential and proprietary to the parties for the purposes of this Article 21, and the information contained herein may be disclosed to third parties only in accordance with the provisions hereof.  Without limiting the generality of the foregoing provisions of this Article 21, this contract document may be disclosed in its entirety by Purchaser or Agent, with or without its Exhibits, only:  (a) in redacted form, (i) to potential assignees pursuant to Article 22 hereof, provided that Seller shall have been notified in advance of such disclosure. Or (ii) to other contractors of Purchaser or Agent, on the conditions set forth in section 21.1 above; or (b) in unredacted form, to a potential assignee whom Purchaser or Agent has reasonably determined to be capable of accepting such assignment and to be acting in good faith in connection therewith, and, if such approval is required pursuant to Article 22, whom Seller has so approved as an assignee.</w:t>
      </w:r>
    </w:p>
    <w:p>
      <w:pPr>
        <w:pStyle w:val="rightjust"/>
        <w:jc w:val="both"/>
        <w:rPr/>
      </w:pPr>
      <w:r>
        <w:rPr/>
        <w:t>For purposes of interpretation and application of this Article 21, the terms “party” and “parties”, except references to “third party”, shall be deemed to include a reference to Agent.</w:t>
      </w:r>
    </w:p>
    <w:p>
      <w:pPr>
        <w:pStyle w:val="BodyText"/>
        <w:rPr/>
      </w:pPr>
      <w:r>
        <w:rPr/>
      </w:r>
    </w:p>
    <w:p>
      <w:pPr>
        <w:pStyle w:val="Normal"/>
        <w:rPr/>
      </w:pPr>
      <w:r>
        <w:rPr/>
      </w:r>
    </w:p>
    <w:p>
      <w:pPr>
        <w:sectPr>
          <w:headerReference w:type="default" r:id="rId19"/>
          <w:headerReference w:type="first" r:id="rId20"/>
          <w:footerReference w:type="default" r:id="rId21"/>
          <w:footerReference w:type="first" r:id="rId22"/>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pPr>
      <w:r>
        <w:rPr/>
      </w:r>
    </w:p>
    <w:p>
      <w:pPr>
        <w:pStyle w:val="rightjust"/>
        <w:jc w:val="center"/>
        <w:rPr/>
      </w:pPr>
      <w:r>
        <w:rPr/>
        <w:t>ANNEX V</w:t>
      </w:r>
    </w:p>
    <w:p>
      <w:pPr>
        <w:pStyle w:val="BodyText2"/>
        <w:rPr/>
      </w:pPr>
      <w:r>
        <w:rPr/>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Agreement without prior written consent from the other Party; such consent not to be unreasonably withheld, conditioned or delayed.  If the Purchaser wishes to obtain the Seller’s consent to the assignment of Purchaser’s duties or rights under this Agreement, it shall request such consent in a writing which includes or incorporates:</w:t>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or other reasonably reliable and complete financial information which indicates that the assignee (or its parent) has the financial resources necessary to make the future payments under this Agreement.</w:t>
      </w:r>
    </w:p>
    <w:p>
      <w:pPr>
        <w:pStyle w:val="Normal"/>
        <w:jc w:val="both"/>
        <w:rPr/>
      </w:pPr>
      <w:r>
        <w:rPr/>
      </w:r>
    </w:p>
    <w:p>
      <w:pPr>
        <w:pStyle w:val="BodyText"/>
        <w:rPr/>
      </w:pPr>
      <w:r>
        <w:rPr/>
        <w:t xml:space="preserve">Seller shall respond to any request for consent in writing within [fourteen (14) days] following its receipt of such request. If Seller fails to respond within this [fourteen day] period, Seller shall be deemed to have waived its right to consent to the proposed assignment.   </w:t>
      </w:r>
    </w:p>
    <w:p>
      <w:pPr>
        <w:pStyle w:val="BodyText"/>
        <w:rPr/>
      </w:pPr>
      <w:r>
        <w:rPr/>
        <w:t>Notwithstanding the foregoing:</w:t>
      </w:r>
    </w:p>
    <w:p>
      <w:pPr>
        <w:pStyle w:val="BodyText"/>
        <w:numPr>
          <w:ilvl w:val="0"/>
          <w:numId w:val="6"/>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6"/>
        </w:numPr>
        <w:rPr/>
      </w:pPr>
      <w:r>
        <w:rPr/>
        <w:t xml:space="preserve">either Party may without further consent by the other Party delegate or assign its duties or rights to any Affiliate or subsidiary; </w:t>
      </w:r>
    </w:p>
    <w:p>
      <w:pPr>
        <w:pStyle w:val="BodyText"/>
        <w:numPr>
          <w:ilvl w:val="0"/>
          <w:numId w:val="6"/>
        </w:numPr>
        <w:rPr/>
      </w:pPr>
      <w:r>
        <w:rPr/>
        <w:t>Purchaser may without further consent of the Seller delegate or assign its duties or rights to any Affiliate of Enron Corp.; or</w:t>
      </w:r>
    </w:p>
    <w:p>
      <w:pPr>
        <w:pStyle w:val="BodyText"/>
        <w:numPr>
          <w:ilvl w:val="0"/>
          <w:numId w:val="6"/>
        </w:numPr>
        <w:rPr/>
      </w:pPr>
      <w:r>
        <w:rPr/>
        <w:t xml:space="preserve">if Purchaser holds or controls other material assets associated with the Facility into which any Unit will be installed (the “Transferred Facility”) and if Purchaser transfers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numPr>
          <w:ilvl w:val="0"/>
          <w:numId w:val="7"/>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 or</w:t>
      </w:r>
    </w:p>
    <w:p>
      <w:pPr>
        <w:pStyle w:val="BodyText"/>
        <w:numPr>
          <w:ilvl w:val="0"/>
          <w:numId w:val="7"/>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rPr>
      </w:pPr>
      <w:r>
        <w:rPr>
          <w:color w:val="000000"/>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rPr>
      </w:pPr>
      <w:r>
        <w:rPr>
          <w:color w:val="000000"/>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sectPr>
          <w:headerReference w:type="default" r:id="rId23"/>
          <w:headerReference w:type="first" r:id="rId24"/>
          <w:footerReference w:type="default" r:id="rId25"/>
          <w:footerReference w:type="first" r:id="rId26"/>
          <w:type w:val="nextPage"/>
          <w:pgSz w:w="12240" w:h="15840"/>
          <w:pgMar w:left="1800" w:right="1800" w:gutter="0" w:header="720" w:top="1440" w:footer="720" w:bottom="1440"/>
          <w:pgNumType w:start="1" w:fmt="decimal"/>
          <w:formProt w:val="false"/>
          <w:textDirection w:val="lrTb"/>
          <w:docGrid w:type="default" w:linePitch="360" w:charSpace="0"/>
        </w:sectPr>
        <w:pStyle w:val="Header"/>
        <w:tabs>
          <w:tab w:val="clear" w:pos="4320"/>
          <w:tab w:val="clear" w:pos="8640"/>
        </w:tabs>
        <w:jc w:val="both"/>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er"/>
        <w:tabs>
          <w:tab w:val="clear" w:pos="4320"/>
          <w:tab w:val="clear" w:pos="8640"/>
        </w:tabs>
        <w:rPr/>
      </w:pPr>
      <w:r>
        <w:rPr/>
      </w:r>
    </w:p>
    <w:p>
      <w:pPr>
        <w:pStyle w:val="rightjust"/>
        <w:jc w:val="center"/>
        <w:rPr/>
      </w:pPr>
      <w:r>
        <w:rPr/>
        <w:t>ANNEX VI</w:t>
      </w:r>
    </w:p>
    <w:p>
      <w:pPr>
        <w:pStyle w:val="Heading2"/>
        <w:tabs>
          <w:tab w:val="clear" w:pos="720"/>
          <w:tab w:val="left" w:pos="0" w:leader="none"/>
        </w:tabs>
        <w:ind w:hanging="0" w:start="0" w:end="0"/>
        <w:rPr/>
      </w:pPr>
      <w:r>
        <w:rPr/>
        <w:t>25.5</w:t>
        <w:tab/>
      </w:r>
      <w:r>
        <w:rPr>
          <w:u w:val="single"/>
        </w:rPr>
        <w:t>Notices to be Provided by Agent</w:t>
      </w:r>
      <w:r>
        <w:rPr/>
        <w:t>.</w:t>
      </w:r>
    </w:p>
    <w:p>
      <w:pPr>
        <w:pStyle w:val="Heading2"/>
        <w:tabs>
          <w:tab w:val="clear" w:pos="720"/>
          <w:tab w:val="left" w:pos="0" w:leader="none"/>
        </w:tabs>
        <w:ind w:hanging="0" w:start="0" w:end="0"/>
        <w:rPr>
          <w:vanish/>
        </w:rPr>
      </w:pPr>
      <w:r>
        <w:rPr/>
        <w:t>25.5.1</w:t>
        <w:tab/>
      </w:r>
      <w:r>
        <w:rPr>
          <w:u w:val="single"/>
        </w:rPr>
        <w:t>Designation of Purchaser’s Representative</w:t>
      </w:r>
      <w:commentRangeStart w:id="11"/>
      <w:r>
        <w:rPr>
          <w:vanish/>
          <w:color w:val="FF0000"/>
        </w:rPr>
        <w:t>»</w:t>
      </w:r>
      <w:commentRangeEnd w:id="11"/>
      <w:r>
        <w:commentReference w:id="11"/>
      </w:r>
      <w:r>
        <w:rPr>
          <w:vanish w:val="false"/>
        </w:rPr>
      </w:r>
    </w:p>
    <w:p>
      <w:pPr>
        <w:pStyle w:val="Para3"/>
        <w:rPr/>
      </w:pPr>
      <w:r>
        <w:rPr/>
        <w:t>.  Within thirty (30) days of the latest date of signature of this Agreement, Agent shall notify the Seller of the individual designated as Purchaser’s Representative who shall act as the primary point of contact for Seller with respect to the prosecution of the Scope of Work.</w:t>
      </w:r>
    </w:p>
    <w:p>
      <w:pPr>
        <w:pStyle w:val="Para3"/>
        <w:rPr>
          <w:vanish/>
        </w:rPr>
      </w:pPr>
      <w:r>
        <w:rPr/>
        <w:t>25.5.2</w:t>
        <w:tab/>
      </w:r>
      <w:r>
        <w:rPr>
          <w:u w:val="single"/>
        </w:rPr>
        <w:t>Individuals Authorized to Approve Change Orders</w:t>
      </w:r>
      <w:commentRangeStart w:id="12"/>
      <w:r>
        <w:rPr>
          <w:vanish/>
          <w:color w:val="FF0000"/>
        </w:rPr>
        <w:t>»</w:t>
      </w:r>
      <w:commentRangeEnd w:id="12"/>
      <w:r>
        <w:commentReference w:id="12"/>
      </w:r>
      <w:r>
        <w:rPr>
          <w:vanish w:val="false"/>
        </w:rPr>
      </w:r>
    </w:p>
    <w:p>
      <w:pPr>
        <w:pStyle w:val="Para3"/>
        <w:rPr/>
      </w:pPr>
      <w:r>
        <w:rPr/>
        <w:t>.  Within thirty (30) days of the latest date of signature of this Agreement, Agent shall deliver a notice to Seller identifying such persons within Agent’s organization that have authority to approve Change Orders.</w:t>
      </w:r>
    </w:p>
    <w:p>
      <w:pPr>
        <w:pStyle w:val="Para3"/>
        <w:rPr>
          <w:vanish/>
        </w:rPr>
      </w:pPr>
      <w:r>
        <w:rPr/>
        <w:t>25.5.3</w:t>
        <w:tab/>
      </w:r>
      <w:r>
        <w:rPr>
          <w:u w:val="single"/>
        </w:rPr>
        <w:t>Notice of Performance Tests</w:t>
      </w:r>
      <w:commentRangeStart w:id="13"/>
      <w:r>
        <w:rPr>
          <w:vanish/>
          <w:color w:val="FF0000"/>
        </w:rPr>
        <w:t>»</w:t>
      </w:r>
      <w:commentRangeEnd w:id="13"/>
      <w:r>
        <w:commentReference w:id="13"/>
      </w:r>
      <w:r>
        <w:rPr>
          <w:vanish w:val="false"/>
        </w:rPr>
      </w:r>
    </w:p>
    <w:p>
      <w:pPr>
        <w:pStyle w:val="Para3"/>
        <w:rPr/>
      </w:pPr>
      <w:r>
        <w:rPr/>
        <w:t>.  Pursuant to Section 10.8.5, Agent shall provide Seller with a thirty (30) days initial notice and a five (5) days confirmation notice in advance of each Performance Test.</w:t>
      </w:r>
    </w:p>
    <w:p>
      <w:pPr>
        <w:pStyle w:val="rightjust"/>
        <w:jc w:val="both"/>
        <w:rPr/>
      </w:pPr>
      <w:r>
        <w:rPr/>
      </w:r>
    </w:p>
    <w:p>
      <w:pPr>
        <w:sectPr>
          <w:headerReference w:type="default" r:id="rId27"/>
          <w:headerReference w:type="first" r:id="rId28"/>
          <w:footerReference w:type="default" r:id="rId29"/>
          <w:footerReference w:type="first" r:id="rId30"/>
          <w:type w:val="nextPage"/>
          <w:pgSz w:w="12240" w:h="15840"/>
          <w:pgMar w:left="1800" w:right="1800" w:gutter="0" w:header="720" w:top="1440" w:footer="720" w:bottom="1440"/>
          <w:pgNumType w:start="1" w:fmt="decimal"/>
          <w:formProt w:val="false"/>
          <w:textDirection w:val="lrTb"/>
          <w:docGrid w:type="default" w:linePitch="360" w:charSpace="0"/>
        </w:sectPr>
        <w:pStyle w:val="BodyText"/>
        <w:rPr/>
      </w:pPr>
      <w:r>
        <w:rPr/>
      </w:r>
    </w:p>
    <w:p>
      <w:pPr>
        <w:pStyle w:val="rightjust"/>
        <w:jc w:val="center"/>
        <w:rPr/>
      </w:pPr>
      <w:r>
        <w:rPr/>
      </w:r>
    </w:p>
    <w:p>
      <w:pPr>
        <w:pStyle w:val="Header"/>
        <w:tabs>
          <w:tab w:val="clear" w:pos="4320"/>
          <w:tab w:val="clear" w:pos="8640"/>
        </w:tabs>
        <w:jc w:val="center"/>
        <w:rPr/>
      </w:pPr>
      <w:r>
        <w:rPr/>
        <w:t>ANNEX VII</w:t>
      </w:r>
    </w:p>
    <w:p>
      <w:pPr>
        <w:pStyle w:val="Header"/>
        <w:tabs>
          <w:tab w:val="clear" w:pos="4320"/>
          <w:tab w:val="clear" w:pos="8640"/>
        </w:tabs>
        <w:jc w:val="center"/>
        <w:rPr/>
      </w:pPr>
      <w:r>
        <w:rPr/>
      </w:r>
    </w:p>
    <w:p>
      <w:pPr>
        <w:pStyle w:val="Header"/>
        <w:tabs>
          <w:tab w:val="clear" w:pos="4320"/>
          <w:tab w:val="clear" w:pos="8640"/>
        </w:tabs>
        <w:jc w:val="both"/>
        <w:rPr/>
      </w:pPr>
      <w:r>
        <w:rPr/>
      </w:r>
    </w:p>
    <w:p>
      <w:pPr>
        <w:pStyle w:val="Header"/>
        <w:tabs>
          <w:tab w:val="clear" w:pos="4320"/>
          <w:tab w:val="clear" w:pos="8640"/>
        </w:tabs>
        <w:jc w:val="both"/>
        <w:rPr/>
      </w:pPr>
      <w:r>
        <w:rPr/>
        <w:t>26.4</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to do so shall be void ab initio.</w:t>
      </w:r>
    </w:p>
    <w:p>
      <w:pPr>
        <w:pStyle w:val="rightjust"/>
        <w:spacing w:before="0" w:after="240"/>
        <w:jc w:val="both"/>
        <w:rPr/>
      </w:pPr>
      <w:r>
        <w:rPr/>
      </w:r>
    </w:p>
    <w:sectPr>
      <w:headerReference w:type="default" r:id="rId31"/>
      <w:headerReference w:type="first" r:id="rId32"/>
      <w:footerReference w:type="default" r:id="rId33"/>
      <w:footerReference w:type="first" r:id="rId34"/>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22935"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7"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V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posOffset>9693275</wp:posOffset>
              </wp:positionV>
              <wp:extent cx="622935" cy="350520"/>
              <wp:effectExtent l="0" t="0" r="0" b="0"/>
              <wp:wrapSquare wrapText="bothSides"/>
              <wp:docPr id="8"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VI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5">
              <wp:simplePos x="0" y="0"/>
              <wp:positionH relativeFrom="page">
                <wp:posOffset>915035</wp:posOffset>
              </wp:positionH>
              <wp:positionV relativeFrom="page">
                <wp:posOffset>9693275</wp:posOffset>
              </wp:positionV>
              <wp:extent cx="622935" cy="350520"/>
              <wp:effectExtent l="0" t="0" r="0" b="0"/>
              <wp:wrapSquare wrapText="bothSides"/>
              <wp:docPr id="9"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End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VII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6">
              <wp:simplePos x="0" y="0"/>
              <wp:positionH relativeFrom="page">
                <wp:posOffset>915035</wp:posOffset>
              </wp:positionH>
              <wp:positionV relativeFrom="page">
                <wp:posOffset>9693275</wp:posOffset>
              </wp:positionV>
              <wp:extent cx="622935" cy="350520"/>
              <wp:effectExtent l="0" t="0" r="0" b="0"/>
              <wp:wrapSquare wrapText="bothSides"/>
              <wp:docPr id="10"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22935"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6"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WAS:87239.1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t>6/4/01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720" w:hanging="0"/>
      </w:pPr>
      <w:rPr>
        <w:sz w:val="24"/>
        <w:i w:val="false"/>
        <w:u w:val="none"/>
        <w:b/>
        <w:rFonts w:ascii="Times New Roman" w:hAnsi="Times New Roman" w:cs="Times New Roman"/>
      </w:rPr>
    </w:lvl>
    <w:lvl w:ilvl="1">
      <w:start w:val="1"/>
      <w:pStyle w:val="Heading2"/>
      <w:isLgl/>
      <w:numFmt w:val="none"/>
      <w:suff w:val="nothing"/>
      <w:lvlText w:val=""/>
      <w:lvlJc w:val="start"/>
      <w:pPr>
        <w:tabs>
          <w:tab w:val="num" w:pos="720"/>
        </w:tabs>
        <w:ind w:start="72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1440"/>
        </w:tabs>
        <w:ind w:start="720" w:hanging="0"/>
      </w:pPr>
      <w:rPr>
        <w:sz w:val="22"/>
        <w:i w:val="false"/>
        <w:u w:val="none"/>
        <w:b/>
        <w:rFonts w:ascii="Times New Roman Bold" w:hAnsi="Times New Roman Bold" w:cs="Times New Roman Bold"/>
      </w:rPr>
    </w:lvl>
    <w:lvl w:ilvl="3">
      <w:start w:val="1"/>
      <w:pStyle w:val="Heading4"/>
      <w:isLgl/>
      <w:numFmt w:val="decimal"/>
      <w:lvlText w:val="%1.%2%3.%4"/>
      <w:lvlJc w:val="start"/>
      <w:pPr>
        <w:tabs>
          <w:tab w:val="num" w:pos="1440"/>
        </w:tabs>
        <w:ind w:start="720" w:hanging="0"/>
      </w:pPr>
      <w:rPr>
        <w:sz w:val="22"/>
        <w:i w:val="false"/>
        <w:u w:val="none"/>
        <w:b/>
        <w:rFonts w:ascii="Times New Roman Bold" w:hAnsi="Times New Roman Bold" w:cs="Times New Roman Bold"/>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Letter"/>
      <w:lvlText w:val="(%6)"/>
      <w:lvlJc w:val="start"/>
      <w:pPr>
        <w:tabs>
          <w:tab w:val="num" w:pos="2520"/>
        </w:tabs>
        <w:ind w:start="720" w:firstLine="1440"/>
      </w:pPr>
      <w:rPr>
        <w:i w:val="false"/>
        <w:b w:val="false"/>
      </w:rPr>
    </w:lvl>
    <w:lvl w:ilvl="6">
      <w:start w:val="1"/>
      <w:pStyle w:val="Heading7"/>
      <w:numFmt w:val="decimal"/>
      <w:lvlText w:val="(%7)"/>
      <w:lvlJc w:val="start"/>
      <w:pPr>
        <w:tabs>
          <w:tab w:val="num" w:pos="2880"/>
        </w:tabs>
        <w:ind w:start="288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1080"/>
        </w:tabs>
        <w:ind w:start="72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3600"/>
        </w:tabs>
        <w:ind w:start="360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1"/>
      <w:numFmt w:val="lowerLetter"/>
      <w:lvlText w:val="(%1)"/>
      <w:lvlJc w:val="start"/>
      <w:pPr>
        <w:tabs>
          <w:tab w:val="num" w:pos="360"/>
        </w:tabs>
        <w:ind w:start="360" w:hanging="360"/>
      </w:pPr>
    </w:lvl>
  </w:abstractNum>
  <w:abstractNum w:abstractNumId="6">
    <w:lvl w:ilvl="0">
      <w:start w:val="23"/>
      <w:numFmt w:val="lowerLetter"/>
      <w:lvlText w:val="(%1)"/>
      <w:lvlJc w:val="start"/>
      <w:pPr>
        <w:tabs>
          <w:tab w:val="num" w:pos="720"/>
        </w:tabs>
        <w:ind w:start="720" w:hanging="720"/>
      </w:pPr>
      <w:rPr/>
    </w:lvl>
  </w:abstractNum>
  <w:abstractNum w:abstractNumId="7">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rFonts w:ascii="Times New Roman" w:hAnsi="Times New Roman" w:cs="Times New Roman"/>
      <w:b/>
      <w:i w:val="false"/>
      <w:sz w:val="24"/>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rFonts w:ascii="Times New Roman Bold" w:hAnsi="Times New Roman Bold" w:cs="Times New Roman Bold"/>
      <w:b/>
      <w:i w:val="false"/>
      <w:sz w:val="22"/>
      <w:u w:val="none"/>
    </w:rPr>
  </w:style>
  <w:style w:type="character" w:styleId="WW8Num14z5">
    <w:name w:val="WW8Num14z5"/>
    <w:qFormat/>
    <w:rPr>
      <w:b w:val="false"/>
      <w:i w:val="false"/>
    </w:rPr>
  </w:style>
  <w:style w:type="character" w:styleId="WW8Num14z8">
    <w:name w:val="WW8Num14z8"/>
    <w:qFormat/>
    <w:rPr>
      <w:rFonts w:ascii="Times New Roman" w:hAnsi="Times New Roman" w:cs="Times New Roman"/>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z w:val="20"/>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CommentText">
    <w:name w:val="Comment Text"/>
    <w:basedOn w:val="Normal"/>
    <w:qFormat/>
    <w:pPr/>
    <w:rPr>
      <w:sz w:val="20"/>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footer" Target="footer15.xml"/><Relationship Id="rId30" Type="http://schemas.openxmlformats.org/officeDocument/2006/relationships/footer" Target="footer16.xml"/><Relationship Id="rId31" Type="http://schemas.openxmlformats.org/officeDocument/2006/relationships/header" Target="header14.xml"/><Relationship Id="rId32" Type="http://schemas.openxmlformats.org/officeDocument/2006/relationships/header" Target="header15.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comments" Target="comments.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2001-06-04T20:55:00Z</dcterms:created>
  <dc:creator>A&amp;K</dc:creator>
  <dc:description/>
  <dc:language>en-CA</dc:language>
  <cp:lastModifiedBy>A&amp;K</cp:lastModifiedBy>
  <cp:lastPrinted>2001-06-04T19:25:00Z</cp:lastPrinted>
  <dcterms:modified xsi:type="dcterms:W3CDTF">2001-06-04T20:55:00Z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WAS:87239.1 </vt:lpwstr>
  </property>
</Properties>
</file>