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pPr>
      <w:r>
        <w:rPr/>
        <w:t>14.1</w:t>
        <w:tab/>
      </w:r>
      <w:r>
        <w:rPr>
          <w:u w:val="single"/>
        </w:rPr>
        <w:t>Warranty Period.</w:t>
      </w:r>
      <w:r>
        <w:rPr/>
        <w:t xml:space="preserve">  The warranties set forth in this Article XIV in respect of any Unit (except warranties as to title) shall apply to defects which appear during the period commencing upon the earlier of (a) Acceptance or (b) first commercial operation of the Unit, and ending upon the earlier of (x) twelve (12) months next following initial synchronization of the Unit or (y) twenty-four (24) months next following the Shipment Date of the Unit (the “</w:t>
      </w:r>
      <w:r>
        <w:rPr>
          <w:u w:val="single"/>
        </w:rPr>
        <w:t>Warranty Period</w:t>
      </w:r>
      <w:r>
        <w:rPr/>
        <w:t>”).</w:t>
      </w:r>
    </w:p>
    <w:p>
      <w:pPr>
        <w:pStyle w:val="Normal"/>
        <w:rPr/>
      </w:pPr>
      <w:r>
        <w:rPr/>
        <w:t>14.2</w:t>
        <w:tab/>
      </w:r>
      <w:r>
        <w:rPr>
          <w:u w:val="single"/>
        </w:rPr>
        <w:t>Warranties</w:t>
      </w:r>
      <w:r>
        <w:rPr/>
        <w:t>.  Seller warrants to Purchaser that during the Warranty Period:  (i) the Equipment to be delivered hereunder shall be designed and fit for the purpose of generating electric power when operated in accordance with Seller’s specific operation instructions and, in the absence thereof, in accordance with generally accepted operation practices of the electric power producing industry and shall be free from defects in material, workmanship and title; and (ii) Services shall be performed in a competent, diligent manner in accordance with any mutually agreed specifications.</w:t>
      </w:r>
    </w:p>
    <w:p>
      <w:pPr>
        <w:pStyle w:val="Normal"/>
        <w:rPr/>
      </w:pPr>
      <w:r>
        <w:rPr/>
        <w:t>14.3</w:t>
        <w:tab/>
      </w:r>
      <w:r>
        <w:rPr>
          <w:u w:val="single"/>
        </w:rPr>
        <w:t>Remedies</w:t>
      </w:r>
      <w:r>
        <w:rPr/>
        <w:t xml:space="preserve">.  If the Equipment delivered or Services performed hereunder do not meet the above warranties during the Warranty Period, Purchaser shall promptly notify Seller in writing and make the Equipment available promptly for correction.  Seller shall thereupon correct any defect by, at its option, (i) reperforming the defective Services, (ii) repairing the defective part of the Equipment or (iii) by making available necessary replacement parts F.O.B. factory, freight prepaid to the Facility.  Seller shall provide Technical Advisory Services reasonably necessary for any such repair of the Equipment, but Seller shall not be responsible for removal or replacement of structures or other parts of the facility.  If a defect in the Equipment or part thereof cannot be corrected by Seller’s reasonable efforts, the Parties will negotiate an equitable adjustment in price with respect to such Equipment or part thereof.  The condition of any tests shall be mutually agreed upon and Seller shall be notified of and may be represented at, all tests that may be made.  </w:t>
      </w:r>
    </w:p>
    <w:p>
      <w:pPr>
        <w:pStyle w:val="Normal"/>
        <w:numPr>
          <w:ilvl w:val="1"/>
          <w:numId w:val="5"/>
        </w:numPr>
        <w:rPr/>
      </w:pPr>
      <w:r>
        <w:rPr>
          <w:u w:val="single"/>
        </w:rPr>
        <w:t>Additional or Extended Warranty Periods</w:t>
      </w:r>
      <w:r>
        <w:rPr/>
        <w:t xml:space="preserve">.  </w:t>
      </w:r>
    </w:p>
    <w:p>
      <w:pPr>
        <w:pStyle w:val="Normal"/>
        <w:numPr>
          <w:ilvl w:val="2"/>
          <w:numId w:val="5"/>
        </w:numPr>
        <w:rPr/>
      </w:pPr>
      <w:r>
        <w:rPr>
          <w:u w:val="single"/>
        </w:rPr>
        <w:t>Warranty of Repaired or Replacement Parts</w:t>
      </w:r>
      <w:r>
        <w:rPr/>
        <w:t>.  The Warranty Period applicable to any reperformed Services or repaired or replacement part furnished pursuant to paragraph 14.3 above shall commence upon completion of such reperformed Services 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The Warranty Period with respect to any Unit shall be extended by a period equal to the period during which the Unit (or that part in which the defect has appeared) cannot be used in commercial operation by reason of that defect.</w:t>
      </w:r>
    </w:p>
    <w:p>
      <w:pPr>
        <w:pStyle w:val="Normal"/>
        <w:numPr>
          <w:ilvl w:val="2"/>
          <w:numId w:val="5"/>
        </w:numPr>
        <w:rPr/>
      </w:pPr>
      <w:r>
        <w:rPr>
          <w:u w:val="single"/>
        </w:rPr>
        <w:t>Limitations</w:t>
      </w:r>
      <w:r>
        <w:rPr/>
        <w:t>.  In any event all Warranty Periods with respect to any Unit and Seller’s responsibilities set forth herein for repaired or replacement parts contained therein shall end upon the first to occur of: (a) twenty-four (24) months next following initial synchronization of the Unit or (b) thirty-six (36) months next following the Shipment Date of the Unit (the “</w:t>
      </w:r>
      <w:r>
        <w:rPr>
          <w:u w:val="single"/>
        </w:rPr>
        <w:t>Warranty Period</w:t>
      </w:r>
      <w:r>
        <w:rPr/>
        <w:t>”).</w:t>
      </w:r>
    </w:p>
    <w:p>
      <w:pPr>
        <w:pStyle w:val="Normal"/>
        <w:rPr/>
      </w:pPr>
      <w:r>
        <w:rPr/>
        <w:t>14.5</w:t>
        <w:tab/>
      </w:r>
      <w:r>
        <w:rPr>
          <w:u w:val="single"/>
        </w:rPr>
        <w:t>Exclusions and Limitations.</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 xml:space="preserve">normal wear and tear, including that due to environment or operation, including excessive operation at peak capability, frequent starting, type of fuel, detrimental air inlet conditions or erosion, corrosion or material deposits from fluids; </w:t>
      </w:r>
    </w:p>
    <w:p>
      <w:pPr>
        <w:pStyle w:val="Normal"/>
        <w:ind w:hanging="720" w:start="1440" w:end="0"/>
        <w:rPr/>
      </w:pPr>
      <w:r>
        <w:rPr/>
        <w:t>(ii)</w:t>
        <w:tab/>
        <w:t>normal degradation in the performance of the Equipment;  or</w:t>
      </w:r>
    </w:p>
    <w:p>
      <w:pPr>
        <w:pStyle w:val="Normal"/>
        <w:numPr>
          <w:ilvl w:val="0"/>
          <w:numId w:val="3"/>
        </w:numPr>
        <w:rPr/>
      </w:pPr>
      <w:r>
        <w:rPr/>
        <w:t>Purchaser’s misuse or negligence; or</w:t>
      </w:r>
    </w:p>
    <w:p>
      <w:pPr>
        <w:pStyle w:val="Normal"/>
        <w:numPr>
          <w:ilvl w:val="0"/>
          <w:numId w:val="3"/>
        </w:numPr>
        <w:rPr/>
      </w:pPr>
      <w:r>
        <w:rPr/>
        <w:t>Failure by the Purchaser promptly to notify the Seller that a defect has become apparent, to use its best efforts to mitigate the results of such defect, or to provide access to the Seller to remedy such defect.</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the proper storage, installation, operation, and maintenance of the Equipment and conformance with the operation instruction manuals (including revisions thereto) provided by Seller and/or its subcontractors, as applicable; and</w:t>
      </w:r>
    </w:p>
    <w:p>
      <w:pPr>
        <w:pStyle w:val="Normal"/>
        <w:numPr>
          <w:ilvl w:val="0"/>
          <w:numId w:val="4"/>
        </w:numPr>
        <w:rPr/>
      </w:pPr>
      <w:r>
        <w:rPr/>
        <w:t>the repair or modification of the Equipment being performed pursuant to Seller’s instructions or approval; and</w:t>
      </w:r>
    </w:p>
    <w:p>
      <w:pPr>
        <w:pStyle w:val="Normal"/>
        <w:numPr>
          <w:ilvl w:val="0"/>
          <w:numId w:val="4"/>
        </w:numPr>
        <w:rPr/>
      </w:pPr>
      <w:r>
        <w:rPr/>
        <w:t>the use of spare or renewal parts provided or approved by the Seller.</w:t>
      </w:r>
    </w:p>
    <w:p>
      <w:pPr>
        <w:pStyle w:val="Normal"/>
        <w:numPr>
          <w:ilvl w:val="2"/>
          <w:numId w:val="2"/>
        </w:numPr>
        <w:rPr/>
      </w:pPr>
      <w:r>
        <w:rPr>
          <w:u w:val="single"/>
        </w:rPr>
        <w:t>Warranties Exclusive.</w:t>
      </w:r>
      <w:r>
        <w:rPr/>
        <w:t>. The foregoing warranties are exclusive and are in lieu of all other warranties and guarantees whether written, oral, implied or statutory.  NO IMPLIED STATUTORY WARRANTY OF MERCHANTABILITY OR FITNESS FOR A PARTICULAR PURPOSE SHALL APPLY.</w:t>
      </w:r>
    </w:p>
    <w:p>
      <w:pPr>
        <w:pStyle w:val="Normal"/>
        <w:numPr>
          <w:ilvl w:val="2"/>
          <w:numId w:val="2"/>
        </w:numPr>
        <w:spacing w:before="0" w:after="240"/>
        <w:rPr/>
      </w:pPr>
      <w:r>
        <w:rPr>
          <w:u w:val="single"/>
        </w:rPr>
        <w:t>Remdies Exclusive.</w:t>
      </w:r>
      <w:r>
        <w:rPr/>
        <w:t>. The preceding paragraphs of this Article set forth the exclusive remedies for all claims based on failure of or defect in the Equipment and Services provided under this Contract, whether the failure or defect arises before or during the Warranty Period and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WorldHungerWarrantyOct18.doc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6"/>
      </w:numPr>
      <w:tabs>
        <w:tab w:val="clear" w:pos="720"/>
      </w:tabs>
      <w:ind w:hanging="720" w:start="720" w:end="0"/>
      <w:outlineLvl w:val="1"/>
    </w:pPr>
    <w:rPr/>
  </w:style>
  <w:style w:type="paragraph" w:styleId="Level1">
    <w:name w:val="Level 1"/>
    <w:basedOn w:val="Normal"/>
    <w:qFormat/>
    <w:pPr>
      <w:numPr>
        <w:ilvl w:val="0"/>
        <w:numId w:val="7"/>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2000-10-18T13:49:00Z</dcterms:created>
  <dc:creator>rengeld</dc:creator>
  <dc:description/>
  <dc:language>en-CA</dc:language>
  <cp:lastModifiedBy>GE</cp:lastModifiedBy>
  <cp:lastPrinted>2000-10-18T12:16:00Z</cp:lastPrinted>
  <dcterms:modified xsi:type="dcterms:W3CDTF">2000-10-18T14:45:00Z</dcterms:modified>
  <cp:revision>3</cp:revision>
  <dc:subject/>
  <dc:title>AGREEMENT</dc:title>
</cp:coreProperties>
</file>