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t>ISDA/OSLA BRIDGE PROVISIONS</w:t>
      </w:r>
    </w:p>
    <w:p>
      <w:pPr>
        <w:pStyle w:val="Normal"/>
        <w:jc w:val="center"/>
        <w:rPr>
          <w:b/>
        </w:rPr>
      </w:pPr>
      <w:r>
        <w:rPr>
          <w:b/>
        </w:rPr>
      </w:r>
    </w:p>
    <w:p>
      <w:pPr>
        <w:pStyle w:val="Normal"/>
        <w:jc w:val="center"/>
        <w:rPr>
          <w:b/>
        </w:rPr>
      </w:pPr>
      <w:r>
        <w:rPr>
          <w:b/>
        </w:rPr>
        <w:t>NOTES FOR DISCUSSION BY THE ISDA</w:t>
      </w:r>
    </w:p>
    <w:p>
      <w:pPr>
        <w:pStyle w:val="Normal"/>
        <w:jc w:val="center"/>
        <w:rPr>
          <w:b/>
        </w:rPr>
      </w:pPr>
      <w:r>
        <w:rPr>
          <w:b/>
        </w:rPr>
        <w:t>MASTER AGREEMENT STRUCTURAL ISSUES WORKING GROUP</w:t>
      </w:r>
    </w:p>
    <w:p>
      <w:pPr>
        <w:pStyle w:val="Normal"/>
        <w:jc w:val="center"/>
        <w:rPr>
          <w:b/>
        </w:rPr>
      </w:pPr>
      <w:r>
        <w:rPr>
          <w:b/>
        </w:rPr>
      </w:r>
    </w:p>
    <w:p>
      <w:pPr>
        <w:pStyle w:val="Normal"/>
        <w:jc w:val="center"/>
        <w:rPr>
          <w:b/>
        </w:rPr>
      </w:pPr>
      <w:r>
        <w:rPr>
          <w:b/>
        </w:rPr>
      </w:r>
    </w:p>
    <w:p>
      <w:pPr>
        <w:pStyle w:val="Normal"/>
        <w:rPr>
          <w:b/>
        </w:rPr>
      </w:pPr>
      <w:r>
        <w:rPr>
          <w:b/>
          <w:i/>
        </w:rPr>
        <w:t>Introduction</w:t>
      </w:r>
    </w:p>
    <w:p>
      <w:pPr>
        <w:pStyle w:val="Normal"/>
        <w:rPr>
          <w:b/>
        </w:rPr>
      </w:pPr>
      <w:r>
        <w:rPr>
          <w:b/>
        </w:rPr>
      </w:r>
    </w:p>
    <w:p>
      <w:pPr>
        <w:pStyle w:val="Normal"/>
        <w:rPr/>
      </w:pPr>
      <w:r>
        <w:rPr/>
        <w:t>These notes refer to, and are intended to assist in the discussion of, the following draft documents:</w:t>
      </w:r>
    </w:p>
    <w:p>
      <w:pPr>
        <w:pStyle w:val="Normal"/>
        <w:rPr/>
      </w:pPr>
      <w:r>
        <w:rPr/>
      </w:r>
    </w:p>
    <w:p>
      <w:pPr>
        <w:pStyle w:val="Normal"/>
        <w:ind w:hanging="680" w:start="680" w:end="0"/>
        <w:rPr/>
      </w:pPr>
      <w:r>
        <w:rPr/>
        <w:tab/>
        <w:t>(a)</w:t>
        <w:tab/>
        <w:t>draft ISDA/OSLA Insolvency Bridge dated 19.11.99 (the "</w:t>
      </w:r>
      <w:r>
        <w:rPr>
          <w:b/>
        </w:rPr>
        <w:t>Insolvency Bridge</w:t>
      </w:r>
      <w:r>
        <w:rPr/>
        <w:t>"); and</w:t>
      </w:r>
    </w:p>
    <w:p>
      <w:pPr>
        <w:pStyle w:val="Normal"/>
        <w:ind w:hanging="680" w:start="680" w:end="0"/>
        <w:rPr/>
      </w:pPr>
      <w:r>
        <w:rPr/>
      </w:r>
    </w:p>
    <w:p>
      <w:pPr>
        <w:pStyle w:val="Normal"/>
        <w:ind w:hanging="680" w:start="680" w:end="0"/>
        <w:rPr/>
      </w:pPr>
      <w:r>
        <w:rPr/>
        <w:tab/>
        <w:t>(b)</w:t>
        <w:tab/>
        <w:t>draft ISDA/OSLA Bridge dated 19.11.99 (the "</w:t>
      </w:r>
      <w:r>
        <w:rPr>
          <w:b/>
        </w:rPr>
        <w:t>Transaction Bridge</w:t>
      </w:r>
      <w:r>
        <w:rPr/>
        <w:t>").</w:t>
      </w:r>
    </w:p>
    <w:p>
      <w:pPr>
        <w:pStyle w:val="Normal"/>
        <w:ind w:hanging="680" w:start="680" w:end="0"/>
        <w:rPr/>
      </w:pPr>
      <w:r>
        <w:rPr/>
      </w:r>
    </w:p>
    <w:p>
      <w:pPr>
        <w:pStyle w:val="Normal"/>
        <w:rPr/>
      </w:pPr>
      <w:r>
        <w:rPr/>
        <w:t>Both drafts are based on the existing bridge provisions published by ISDA that allow parties to bridge transactions documented on BBAIRS or FRABBA terms into their ISDA Master Agreements. Both drafts aim to allow parties to an ISDA Master Agreement to bring securities lending transactions documented under an Overseas Securities Lender's Agreement (the "</w:t>
      </w:r>
      <w:r>
        <w:rPr>
          <w:b/>
        </w:rPr>
        <w:t>OSLA</w:t>
      </w:r>
      <w:r>
        <w:rPr/>
        <w:t>") within the close-out netting provisions of the ISDA Master Agreement.  They are both intended to be used for discussion purposes at present and are very much preliminary drafts.</w:t>
      </w:r>
    </w:p>
    <w:p>
      <w:pPr>
        <w:pStyle w:val="Normal"/>
        <w:rPr/>
      </w:pPr>
      <w:r>
        <w:rPr/>
      </w:r>
    </w:p>
    <w:p>
      <w:pPr>
        <w:pStyle w:val="Normal"/>
        <w:rPr/>
      </w:pPr>
      <w:r>
        <w:rPr/>
        <w:t>The Insolvency Bridge reflects an approach, discussed at previous meetings of the Working Group, that would preserve the existing termination valuation provisions in Clause 8(B) to (F) of the OSLA.  It would only bring the termination values for securities lending transactions documented under the OSLA within the ISDA Master Agreement if a bankruptcy event of default occurs under Section 5(a)(vii) of the ISDA Master Agreement.  The Transaction Bridge, on the other hand, deems securities lending transactions documented under an OSLA to be Transactions for the purposes of the ISDA Master Agreement.</w:t>
      </w:r>
    </w:p>
    <w:p>
      <w:pPr>
        <w:pStyle w:val="Normal"/>
        <w:rPr/>
      </w:pPr>
      <w:r>
        <w:rPr/>
      </w:r>
    </w:p>
    <w:p>
      <w:pPr>
        <w:pStyle w:val="Normal"/>
        <w:rPr>
          <w:b/>
          <w:i/>
          <w:i/>
        </w:rPr>
      </w:pPr>
      <w:r>
        <w:rPr>
          <w:b/>
          <w:i/>
        </w:rPr>
        <w:t>Specific Issues for Discussion</w:t>
      </w:r>
    </w:p>
    <w:p>
      <w:pPr>
        <w:pStyle w:val="Normal"/>
        <w:rPr>
          <w:b/>
          <w:i/>
          <w:i/>
        </w:rPr>
      </w:pPr>
      <w:r>
        <w:rPr>
          <w:b/>
          <w:i/>
        </w:rPr>
      </w:r>
    </w:p>
    <w:p>
      <w:pPr>
        <w:pStyle w:val="Normal"/>
        <w:ind w:hanging="720" w:start="720" w:end="0"/>
        <w:rPr/>
      </w:pPr>
      <w:r>
        <w:rPr/>
        <w:t>1.</w:t>
        <w:tab/>
      </w:r>
      <w:r>
        <w:rPr>
          <w:b/>
        </w:rPr>
        <w:t xml:space="preserve">Collateral.  </w:t>
      </w:r>
      <w:r>
        <w:rPr/>
        <w:t xml:space="preserve">The OSLA provides for collateral (plus a margin) to be posted and maintained.  This would conflict with comparable collateral arrangements established in relation to the ISDA Master Agreement, for example under the various ISDA Credit Support Annexes or Deed.  </w:t>
      </w:r>
    </w:p>
    <w:p>
      <w:pPr>
        <w:pStyle w:val="Normal"/>
        <w:ind w:hanging="720" w:start="720" w:end="0"/>
        <w:rPr/>
      </w:pPr>
      <w:r>
        <w:rPr/>
      </w:r>
    </w:p>
    <w:p>
      <w:pPr>
        <w:pStyle w:val="Normal"/>
        <w:ind w:start="720" w:end="0"/>
        <w:rPr/>
      </w:pPr>
      <w:r>
        <w:rPr/>
        <w:t>One possible solution to this conflict would be to amend the terms of the ISDA Credit Support Annex or Deed where used in conjunction with the Transaction Bridge so that the term "Exposure" excludes exposures in relation to securities lending transactions.  This would, however, create two distinct collateral arrangements and may be inappropriate given the aim of achieving a net position (and presumably, therefore, margin calculation) across all transactions.</w:t>
      </w:r>
    </w:p>
    <w:p>
      <w:pPr>
        <w:pStyle w:val="Normal"/>
        <w:ind w:hanging="720" w:start="720" w:end="0"/>
        <w:rPr/>
      </w:pPr>
      <w:r>
        <w:rPr/>
      </w:r>
    </w:p>
    <w:p>
      <w:pPr>
        <w:pStyle w:val="Normal"/>
        <w:ind w:hanging="720" w:start="720" w:end="0"/>
        <w:rPr/>
      </w:pPr>
      <w:r>
        <w:rPr/>
        <w:tab/>
        <w:t>Another solution might be to disapply the collateral provisions within the OSLA, by disapplying Clause 6 and the provisions relating to collateral contained in the OSLA Schedule, at least where a mark-to-market collateral arrangement exists in respect of the ISDA Master Agreement.</w:t>
      </w:r>
    </w:p>
    <w:p>
      <w:pPr>
        <w:pStyle w:val="Normal"/>
        <w:ind w:hanging="720" w:start="720" w:end="0"/>
        <w:rPr/>
      </w:pPr>
      <w:r>
        <w:rPr/>
      </w:r>
    </w:p>
    <w:p>
      <w:pPr>
        <w:pStyle w:val="Normal"/>
        <w:ind w:hanging="720" w:start="720" w:end="0"/>
        <w:rPr/>
      </w:pPr>
      <w:r>
        <w:rPr/>
        <w:t>2.</w:t>
        <w:tab/>
      </w:r>
      <w:r>
        <w:rPr>
          <w:b/>
        </w:rPr>
        <w:t xml:space="preserve">Default and Close-Out.  </w:t>
      </w:r>
      <w:r>
        <w:rPr/>
        <w:t>The aim of the Transaction Bridge is to incorporate all OSLA documented securities lending transactions into the ISDA Master Agreement as Transactions (as defined in the ISDA Master Agreement).  This is achieved in practice by maintaining the relevant operational structures (as to payment, delivery, etc.) that are currently in the OSLA, so that there should be no change to existing market practice.  The default and close-out provisions from the OSLA are disapplied, on the basis that these provisions should be consistent across all Transactions under the ISDA Master Agreement.  However, it may be that the valuation provisions in Section 6 of the ISDA Master Agreement are inappropriate for securities lending transactions.  To preserve the OSLA valuation approach, would it be necessary to override Loss or Market Quotation in relation to the securities lending transactions brought in by way of the bridge, or, as the footnote to the Insolvency Bridge suggests, is there some way of making the existing ISDA Loss calculation fit securities lending transactions?</w:t>
      </w:r>
    </w:p>
    <w:p>
      <w:pPr>
        <w:pStyle w:val="Normal"/>
        <w:ind w:hanging="720" w:start="720" w:end="0"/>
        <w:rPr/>
      </w:pPr>
      <w:r>
        <w:rPr/>
      </w:r>
    </w:p>
    <w:p>
      <w:pPr>
        <w:pStyle w:val="Normal"/>
        <w:ind w:hanging="720" w:start="720" w:end="0"/>
        <w:rPr/>
      </w:pPr>
      <w:r>
        <w:rPr/>
        <w:tab/>
        <w:t>Also, although, in general, the Events of Default in the ISDA Master Agreement are wider than those in the OSLA, there is no equivalent in the ISDA Master Agreement of Clause 12(F) (admission of inability or intention not to perform) or Clause 12(G) (suspension or expulsion from a regulatory organisation, etc).  Should we bring these events under the ISDA Master Agreement by way of one of the bridges, at least in respect of securities lending transactions?</w:t>
      </w:r>
    </w:p>
    <w:p>
      <w:pPr>
        <w:pStyle w:val="Normal"/>
        <w:ind w:hanging="720" w:start="720" w:end="0"/>
        <w:rPr/>
      </w:pPr>
      <w:r>
        <w:rPr/>
      </w:r>
    </w:p>
    <w:p>
      <w:pPr>
        <w:pStyle w:val="Normal"/>
        <w:ind w:hanging="720" w:start="720" w:end="0"/>
        <w:rPr/>
      </w:pPr>
      <w:r>
        <w:rPr/>
        <w:t>3.</w:t>
        <w:tab/>
      </w:r>
      <w:r>
        <w:rPr>
          <w:b/>
        </w:rPr>
        <w:t xml:space="preserve">Grace Periods.  </w:t>
      </w:r>
      <w:r>
        <w:rPr/>
        <w:t>There is generally no cure period under the OSLA, including in respect of a failure to pay.  Is this something we should bring under the ISDA Master Agreement by way of one of the bridges, at least in respect of securities lending transactions?</w:t>
      </w:r>
    </w:p>
    <w:p>
      <w:pPr>
        <w:pStyle w:val="Normal"/>
        <w:ind w:hanging="720" w:start="720" w:end="0"/>
        <w:rPr/>
      </w:pPr>
      <w:r>
        <w:rPr/>
      </w:r>
    </w:p>
    <w:p>
      <w:pPr>
        <w:pStyle w:val="Normal"/>
        <w:ind w:hanging="720" w:start="720" w:end="0"/>
        <w:rPr/>
      </w:pPr>
      <w:r>
        <w:rPr/>
        <w:t>4.</w:t>
        <w:tab/>
      </w:r>
      <w:r>
        <w:rPr>
          <w:b/>
        </w:rPr>
        <w:t xml:space="preserve">Mini Close-Out.  </w:t>
      </w:r>
      <w:r>
        <w:rPr/>
        <w:t>The OSLA provides for a "mini close-out" in the event of a failure to redeliver Equivalent Securities.  Only the relevant transaction in respect of which the failure to deliver occurred is closed-out in these circumstances.  To replicate this in the bridge, we would need to preserve Clause 7(C) of the OSLA and disapply Section 5(a)(i) of the ISDA Master Agreement in so far as it relates to failure to deliver in respect of a securities lending transaction.  We might want to provide that a failure to comply with the mini close-out provisions within three local business days constitutes an Event of Default.</w:t>
      </w:r>
    </w:p>
    <w:p>
      <w:pPr>
        <w:pStyle w:val="Normal"/>
        <w:ind w:hanging="720" w:start="720" w:end="0"/>
        <w:rPr/>
      </w:pPr>
      <w:r>
        <w:rPr/>
      </w:r>
    </w:p>
    <w:p>
      <w:pPr>
        <w:pStyle w:val="Normal"/>
        <w:ind w:hanging="720" w:start="720" w:end="0"/>
        <w:rPr/>
      </w:pPr>
      <w:r>
        <w:rPr/>
        <w:t>5.</w:t>
        <w:tab/>
      </w:r>
      <w:r>
        <w:rPr>
          <w:b/>
        </w:rPr>
        <w:t xml:space="preserve">Termination.  </w:t>
      </w:r>
      <w:r>
        <w:rPr/>
        <w:t>Under Clause 15 of the OSLA, either party may terminate the agreement by giving notice of at least 15 business days, subject to proper discharge of all outstanding loans.  Is this something we need to bring under the ISDA Master Agreement by way of the bridge (in relation to securities lending transactions)?</w:t>
      </w:r>
    </w:p>
    <w:p>
      <w:pPr>
        <w:pStyle w:val="Normal"/>
        <w:rPr/>
      </w:pPr>
      <w:r>
        <w:rPr/>
      </w:r>
    </w:p>
    <w:p>
      <w:pPr>
        <w:pStyle w:val="Normal"/>
        <w:ind w:hanging="720" w:start="720" w:end="0"/>
        <w:rPr/>
      </w:pPr>
      <w:r>
        <w:rPr/>
        <w:t>6.</w:t>
        <w:tab/>
      </w:r>
      <w:r>
        <w:rPr>
          <w:b/>
        </w:rPr>
        <w:t xml:space="preserve">Warranties.  </w:t>
      </w:r>
      <w:r>
        <w:rPr/>
        <w:t>The representations contained in the ISDA Master Agreement are in some respects broader in scope than those found in Clauses 10 and 11 of the OSLA (for example, OSLA has no equivalent of the Accuracy of Specified Information representation).  Would it be helpful to make it clear in the bridge that such broader representations will apply to securities lending transactions that are brought under the ISDA Master Agreement by way of the bridge?</w:t>
      </w:r>
    </w:p>
    <w:p>
      <w:pPr>
        <w:pStyle w:val="Normal"/>
        <w:rPr/>
      </w:pPr>
      <w:r>
        <w:rPr/>
      </w:r>
    </w:p>
    <w:p>
      <w:pPr>
        <w:pStyle w:val="Normal"/>
        <w:ind w:hanging="720" w:start="720" w:end="0"/>
        <w:rPr/>
      </w:pPr>
      <w:r>
        <w:rPr/>
        <w:t>7.</w:t>
        <w:tab/>
      </w:r>
      <w:r>
        <w:rPr>
          <w:b/>
        </w:rPr>
        <w:t>Tax.</w:t>
      </w:r>
      <w:r>
        <w:rPr/>
        <w:t xml:space="preserve">  As a general matter, there are differences in the ways that the ISDA Master Agreement and the OSLA treat tax issues.  For example, under the OSLA, the burden is placed on the borrower of the securities to pay for any transfer duties or similar charges that arise in connection with transactions under the agreement.  Moreover, there is no tax gross-up clause. Therefore, except where indicated otherwise, payments are made net of tax.  To what extent do we need to bring the OSLA's approach under the ISDA Master Agreement in respect of securities lending transactions?</w:t>
      </w:r>
    </w:p>
    <w:p>
      <w:pPr>
        <w:pStyle w:val="Normal"/>
        <w:ind w:hanging="720" w:start="720" w:end="0"/>
        <w:rPr/>
      </w:pPr>
      <w:r>
        <w:rPr/>
      </w:r>
    </w:p>
    <w:p>
      <w:pPr>
        <w:pStyle w:val="Normal"/>
        <w:ind w:hanging="720" w:start="720" w:end="0"/>
        <w:rPr/>
      </w:pPr>
      <w:r>
        <w:rPr/>
        <w:t>8.</w:t>
        <w:tab/>
      </w:r>
      <w:r>
        <w:rPr>
          <w:b/>
        </w:rPr>
        <w:t xml:space="preserve">Specific Performance.  </w:t>
      </w:r>
      <w:r>
        <w:rPr/>
        <w:t>Under Clause 19 of the OSLA, the parties agree not to seek the remedy of specific performance in any legal proceedings.  Is this something we need to bring under the ISDA Master Agreement by way of the bridge (in relation to securities lending transactions)?</w:t>
      </w:r>
    </w:p>
    <w:p>
      <w:pPr>
        <w:pStyle w:val="Normal"/>
        <w:ind w:hanging="720" w:start="720" w:end="0"/>
        <w:rPr/>
      </w:pPr>
      <w:r>
        <w:rPr/>
      </w:r>
    </w:p>
    <w:p>
      <w:pPr>
        <w:pStyle w:val="Normal"/>
        <w:ind w:hanging="720" w:start="720" w:end="0"/>
        <w:rPr/>
      </w:pPr>
      <w:r>
        <w:rPr/>
        <w:t>9.</w:t>
        <w:tab/>
      </w:r>
      <w:r>
        <w:rPr>
          <w:b/>
        </w:rPr>
        <w:t xml:space="preserve">Arbitration.  </w:t>
      </w:r>
      <w:r>
        <w:rPr/>
        <w:t>Under Clause 23 of the OSLA, all claims and disputes are to be submitted to arbitration in London.  Is this something we need to bring under the ISDA Master Agreement in respect of securities lending transactions?</w:t>
      </w:r>
    </w:p>
    <w:p>
      <w:pPr>
        <w:pStyle w:val="Normal"/>
        <w:ind w:hanging="720" w:start="720" w:end="0"/>
        <w:rPr/>
      </w:pPr>
      <w:r>
        <w:rPr/>
      </w:r>
    </w:p>
    <w:p>
      <w:pPr>
        <w:pStyle w:val="Normal"/>
        <w:ind w:hanging="720" w:start="720" w:end="0"/>
        <w:rPr/>
      </w:pPr>
      <w:r>
        <w:rPr/>
        <w:t>10.</w:t>
        <w:tab/>
      </w:r>
      <w:r>
        <w:rPr>
          <w:b/>
        </w:rPr>
        <w:t xml:space="preserve">Drafting: "Incorporating" OSLA Terms.  </w:t>
      </w:r>
      <w:r>
        <w:rPr/>
        <w:t>The BBAIRS and FRABBA bridges anticipated that confirmations would refer to or "incorporate" BBAIRS or FRABBA terms.  Is this a function of these being standard terms rather than forms of agreement.  Is it correct to speak of securities lending confirmations "incorporating" the OSLA?</w:t>
      </w:r>
    </w:p>
    <w:p>
      <w:pPr>
        <w:pStyle w:val="Normal"/>
        <w:ind w:hanging="720" w:start="720" w:end="0"/>
        <w:rPr/>
      </w:pPr>
      <w:r>
        <w:rPr/>
      </w:r>
    </w:p>
    <w:p>
      <w:pPr>
        <w:pStyle w:val="Normal"/>
        <w:rPr/>
      </w:pPr>
      <w:r>
        <w:rPr/>
        <w:t>We look forward to discussing these issues and any other points that you may have identified at the Working Group meeting scheduled for 2nd December.</w:t>
      </w:r>
    </w:p>
    <w:p>
      <w:pPr>
        <w:pStyle w:val="Normal"/>
        <w:rPr/>
      </w:pPr>
      <w:r>
        <w:rPr/>
      </w:r>
    </w:p>
    <w:p>
      <w:pPr>
        <w:pStyle w:val="Normal"/>
        <w:rPr/>
      </w:pPr>
      <w:r>
        <w:rPr/>
      </w:r>
    </w:p>
    <w:p>
      <w:pPr>
        <w:pStyle w:val="Normal"/>
        <w:jc w:val="end"/>
        <w:rPr>
          <w:b/>
        </w:rPr>
      </w:pPr>
      <w:r>
        <w:rPr>
          <w:b/>
        </w:rPr>
        <w:t>24th November, 1999</w:t>
      </w:r>
    </w:p>
    <w:p>
      <w:pPr>
        <w:pStyle w:val="Normal"/>
        <w:rPr>
          <w:b/>
        </w:rPr>
      </w:pPr>
      <w:r>
        <w:rPr>
          <w:b/>
        </w:rPr>
        <w:t>Jeffrey B. Golden</w:t>
      </w:r>
    </w:p>
    <w:p>
      <w:pPr>
        <w:pStyle w:val="Normal"/>
        <w:rPr>
          <w:b/>
        </w:rPr>
      </w:pPr>
      <w:r>
        <w:rPr>
          <w:b/>
        </w:rPr>
        <w:t>Richard Tredgett</w:t>
      </w:r>
    </w:p>
    <w:p>
      <w:pPr>
        <w:pStyle w:val="Normal"/>
        <w:rPr>
          <w:b/>
        </w:rPr>
      </w:pPr>
      <w:r>
        <w:rPr>
          <w:b/>
        </w:rPr>
        <w:t>John Berry</w:t>
      </w:r>
    </w:p>
    <w:sectPr>
      <w:headerReference w:type="default" r:id="rId2"/>
      <w:headerReference w:type="first" r:id="rId3"/>
      <w:footerReference w:type="default" r:id="rId4"/>
      <w:footerReference w:type="first" r:id="rId5"/>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ICM:381696.1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ICM:381696.1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Ref" w:val="ICM:38169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HeaderLeft">
    <w:name w:val="Header Left"/>
    <w:basedOn w:val="Header"/>
    <w:qFormat/>
    <w:pPr>
      <w:suppressLineNumbers/>
      <w:tabs>
        <w:tab w:val="clear" w:pos="4153"/>
        <w:tab w:val="clear" w:pos="8306"/>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2001-03-16T11:42:00Z</dcterms:created>
  <dc:creator>Allen &amp; Overy</dc:creator>
  <dc:description/>
  <dc:language>en-CA</dc:language>
  <cp:lastModifiedBy>apapesch</cp:lastModifiedBy>
  <cp:lastPrinted>1999-11-19T17:19:00Z</cp:lastPrinted>
  <dcterms:modified xsi:type="dcterms:W3CDTF">2001-03-16T12:01:00Z</dcterms:modified>
  <cp:revision>3</cp:revision>
  <dc:subject/>
  <dc:title>Draft: 04</dc:title>
</cp:coreProperties>
</file>