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3268"/>
        <w:gridCol w:w="4991"/>
        <w:gridCol w:w="1317"/>
      </w:tblGrid>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MARY COOK</w:t>
            </w:r>
          </w:p>
          <w:p>
            <w:pPr>
              <w:pStyle w:val="Normal"/>
              <w:jc w:val="center"/>
              <w:rPr>
                <w:b/>
                <w:bCs/>
                <w:sz w:val="22"/>
              </w:rPr>
            </w:pPr>
            <w:r>
              <w:rPr>
                <w:b/>
                <w:bCs/>
                <w:sz w:val="22"/>
              </w:rPr>
              <w:t>WORK REPORT</w:t>
            </w:r>
          </w:p>
        </w:tc>
        <w:tc>
          <w:tcPr>
            <w:tcW w:w="4991"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AUGUST 30, 2001</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r>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ISDA PROJECT FILES</w:t>
            </w:r>
          </w:p>
        </w:tc>
        <w:tc>
          <w:tcPr>
            <w:tcW w:w="4991"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STATUS/COMMENTS</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PRIORITY</w:t>
            </w:r>
          </w:p>
        </w:tc>
      </w:tr>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c>
          <w:tcPr>
            <w:tcW w:w="4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r>
      <w:tr>
        <w:trPr>
          <w:trHeight w:val="1026"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Aquila Capital and Trade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Executed.  EOL consent draft has been submitted.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552"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Albchem</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Execution version sent to Counterparty</w:t>
            </w:r>
          </w:p>
        </w:tc>
        <w:tc>
          <w:tcPr>
            <w:tcW w:w="1317" w:type="dxa"/>
            <w:vMerge w:val="restart"/>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p>
        </w:tc>
      </w:tr>
      <w:tr>
        <w:trPr>
          <w:trHeight w:val="1721"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Atco Power Canada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pPr>
            <w:r>
              <w:rPr>
                <w:b/>
                <w:bCs/>
                <w:sz w:val="22"/>
              </w:rPr>
              <w:t>Derek Davies to provide legal contact name to discuss use of ISDA.</w:t>
            </w:r>
            <w:r>
              <w:rPr>
                <w:sz w:val="22"/>
              </w:rPr>
              <w:t xml:space="preserve">  Atco form is substandard.</w:t>
            </w:r>
          </w:p>
        </w:tc>
        <w:tc>
          <w:tcPr>
            <w:tcW w:w="13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1636" w:hRule="atLeast"/>
        </w:trPr>
        <w:tc>
          <w:tcPr>
            <w:tcW w:w="3268" w:type="dxa"/>
            <w:tcBorders>
              <w:top w:val="single" w:sz="4" w:space="0" w:color="000000"/>
              <w:start w:val="single" w:sz="4" w:space="0" w:color="000000"/>
              <w:bottom w:val="single" w:sz="4" w:space="0" w:color="000000"/>
              <w:end w:val="single" w:sz="4" w:space="0" w:color="000000"/>
            </w:tcBorders>
            <w:vAlign w:val="center"/>
          </w:tcPr>
          <w:p>
            <w:pPr>
              <w:pStyle w:val="Normal"/>
              <w:ind w:start="1080" w:end="0"/>
              <w:rPr>
                <w:b/>
                <w:bCs/>
                <w:sz w:val="22"/>
              </w:rPr>
            </w:pPr>
            <w:r>
              <w:rPr>
                <w:sz w:val="22"/>
              </w:rPr>
              <w:t>Cadillac Fairview Corporation Ltd.</w:t>
            </w:r>
          </w:p>
        </w:tc>
        <w:tc>
          <w:tcPr>
            <w:tcW w:w="4991"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Jeff Borg at Toronto office has delivered draft to Cadillac and we are awaiting response.</w:t>
            </w:r>
            <w:r>
              <w:rPr>
                <w:b/>
                <w:bCs/>
                <w:sz w:val="22"/>
              </w:rPr>
              <w:t xml:space="preserve">  Jeff Borg to advise of status.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1931"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Canadian Hunter Resources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Draft sent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Very 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Casco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Received guaranty.  New draft sent to Counterparty on the basis of conference call on general concepts.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Cascades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delivered Klein to deliver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Cavell Energy Corporation</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Execution version sent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Due West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Resent to Counterparty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Encounter Energy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delivered; no response to us.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Enmax Energy Marketing Corporation</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by Nelson to Counterparty in respect of Counterparty restructure.  This needs to be reworked.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Enron Direct Limited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execution version sent to Canada office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Engage Energy Canada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Executed.  Working with Canada office on netting arrangements for credit and global guaranties (requested by credit prior to negotiation of ISDA).</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Garden City Plaza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Sent to Counterparty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Great-West Life Assurance Company</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to Jeff Borg for his delivery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Husky Oil Operations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Replacement ISDA sent for review.  Awaiting comments.  Call into Egil Bvorsen.  No response.</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Keyspan Energy Canada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Counterparty Credit still reviewing.  This is stale file.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Koch Pipelines Canada, L.P.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Prepared and delivered revised draft based upon new credit terms provided by Wendy Conwell.  We have not received comments.  Ed Sacks to follow up with Koch.</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Loblaw Companies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ISDA draft has been forwarded to counterparty.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Manufacturer's Life Insurance Company</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Under counterparty review</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Ontario Hydro Energy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Draft sent to counterparty May 22, 2001.  Comments have not been received.  Per Henderson at Counterparty as of July 19, they are still reviewing.</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Ontario Power Generation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Received comments from Counterparty last week of July.  EOL trading is open for deals of tenor &lt;,= 12 months.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Powerex Corp.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Transmitted credit proposal to Ngo.  Currently working on draft of credit provisions for Contract for Differences.  All "Transaction Letter" confirmations have been prepared in Houston and approved by Greenizan.  Awaiting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Royal Group Technologies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to counterparty May 8.  No comments yet received.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Shell Canada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transmitted late June; awaiting comments.  Per Waldorf at Shell, comments will not be forth coming until end of August.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Superior Propane Income Fund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Legal and credit review of the entity.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Toronto Office Customer Group via energy procurement consultant</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Sample form sent to Gaffney for distribution. (Gaffney and Cook)</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Vermillion Resources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ISDA draft sent late November to counterparty.  Shawn Anderson will stay in contact with counterparty to obtain comments.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 xml:space="preserve">Midcoast Energy with Enbridge </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Negotiation of collateral call and guaranty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USG/United Gypsum</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Negotiate post-petition ISDA; coordinate with Mellencamp and Rohauer</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NRG</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Negotiation of ISDA, received comments; awaiting stipulation re litigation matter from Edison prior to continuing work on this file</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Sempra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and guaranty issues</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Dynegy Canada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Redo ISDA; awaiting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ANP Marketing</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negotiations</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Vermont Gas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Finish ISDA Amendment</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Profico Energy Management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bl>
    <w:p>
      <w:pPr>
        <w:pStyle w:val="Normal"/>
        <w:ind w:start="360" w:end="0"/>
        <w:jc w:val="both"/>
        <w:rPr>
          <w:b/>
          <w:bCs/>
          <w:u w:val="single"/>
        </w:rPr>
      </w:pPr>
      <w:r>
        <w:rPr>
          <w:b/>
          <w:bCs/>
          <w:u w:val="single"/>
        </w:rPr>
      </w:r>
      <w:r>
        <w:br w:type="page"/>
      </w:r>
    </w:p>
    <w:p>
      <w:pPr>
        <w:pStyle w:val="Normal"/>
        <w:ind w:start="360" w:end="0"/>
        <w:jc w:val="both"/>
        <w:rPr>
          <w:b/>
          <w:bCs/>
          <w:u w:val="single"/>
        </w:rPr>
      </w:pPr>
      <w:r>
        <w:rPr>
          <w:b/>
          <w:bCs/>
          <w:u w:val="single"/>
        </w:rPr>
      </w:r>
    </w:p>
    <w:p>
      <w:pPr>
        <w:pStyle w:val="Normal"/>
        <w:ind w:start="360" w:end="0"/>
        <w:jc w:val="both"/>
        <w:rPr>
          <w:b/>
          <w:bCs/>
          <w:u w:val="single"/>
        </w:rPr>
      </w:pPr>
      <w:r>
        <w:rPr>
          <w:b/>
          <w:bCs/>
          <w:u w:val="single"/>
        </w:rPr>
        <w:t>OTHER</w:t>
      </w:r>
    </w:p>
    <w:p>
      <w:pPr>
        <w:pStyle w:val="Normal"/>
        <w:ind w:start="360" w:end="0"/>
        <w:jc w:val="both"/>
        <w:rPr>
          <w:b/>
          <w:bCs/>
          <w:u w:val="single"/>
        </w:rPr>
      </w:pPr>
      <w:r>
        <w:rPr>
          <w:b/>
          <w:bCs/>
          <w:u w:val="single"/>
        </w:rPr>
      </w:r>
    </w:p>
    <w:p>
      <w:pPr>
        <w:pStyle w:val="Normal"/>
        <w:ind w:start="360" w:end="0"/>
        <w:jc w:val="both"/>
        <w:rPr/>
      </w:pPr>
      <w:r>
        <w:rPr/>
        <w:t>CANADA  Coordinating with Peter Keohane on certain cross border Canada master cross product netting agreements.  He is reviewing our current form with Canadian counsel.  Specifically, Engage and Powerex are first contenders.</w:t>
      </w:r>
    </w:p>
    <w:p>
      <w:pPr>
        <w:pStyle w:val="Normal"/>
        <w:ind w:start="360" w:end="0"/>
        <w:jc w:val="both"/>
        <w:rPr>
          <w:u w:val="single"/>
        </w:rPr>
      </w:pPr>
      <w:r>
        <w:rPr>
          <w:u w:val="single"/>
        </w:rPr>
      </w:r>
    </w:p>
    <w:p>
      <w:pPr>
        <w:pStyle w:val="Normal"/>
        <w:ind w:start="360" w:end="0"/>
        <w:jc w:val="both"/>
        <w:rPr/>
      </w:pPr>
      <w:r>
        <w:rPr/>
        <w:t xml:space="preserve">MASTER NETTING AGREEMENTS  </w:t>
      </w:r>
      <w:r>
        <w:rPr>
          <w:u w:val="single"/>
        </w:rPr>
        <w:t>PG&amp;E Third Amendment</w:t>
      </w:r>
      <w:r>
        <w:rPr/>
        <w:t xml:space="preserve">; </w:t>
      </w:r>
      <w:r>
        <w:rPr>
          <w:u w:val="single"/>
        </w:rPr>
        <w:t>New Power</w:t>
      </w:r>
      <w:r>
        <w:rPr/>
        <w:t xml:space="preserve"> issues in respect of credit, netting and totality of relationship (Cadwalader assisting)</w:t>
      </w:r>
    </w:p>
    <w:p>
      <w:pPr>
        <w:pStyle w:val="Normal"/>
        <w:ind w:start="360" w:end="0"/>
        <w:jc w:val="both"/>
        <w:rPr/>
      </w:pPr>
      <w:r>
        <w:rPr/>
      </w:r>
    </w:p>
    <w:p>
      <w:pPr>
        <w:pStyle w:val="Normal"/>
        <w:ind w:start="360" w:end="0"/>
        <w:jc w:val="both"/>
        <w:rPr/>
      </w:pPr>
      <w:r>
        <w:rPr/>
        <w:t>Work with Gail Brownfeld on Waste Management confirmation swap dispute:  Bob Crane's group</w:t>
      </w:r>
    </w:p>
    <w:p>
      <w:pPr>
        <w:pStyle w:val="Normal"/>
        <w:ind w:start="360" w:end="0"/>
        <w:jc w:val="both"/>
        <w:rPr/>
      </w:pPr>
      <w:r>
        <w:rPr/>
      </w:r>
    </w:p>
    <w:p>
      <w:pPr>
        <w:pStyle w:val="Normal"/>
        <w:ind w:start="360" w:end="0"/>
        <w:jc w:val="both"/>
        <w:rPr/>
      </w:pPr>
      <w:r>
        <w:rPr/>
        <w:t>ABN Margin Line termination</w:t>
      </w:r>
    </w:p>
    <w:p>
      <w:pPr>
        <w:pStyle w:val="Normal"/>
        <w:jc w:val="both"/>
        <w:rPr/>
      </w:pPr>
      <w:r>
        <w:rPr/>
        <w:tab/>
      </w:r>
    </w:p>
    <w:p>
      <w:pPr>
        <w:pStyle w:val="Normal"/>
        <w:ind w:start="360" w:end="0"/>
        <w:jc w:val="both"/>
        <w:rPr/>
      </w:pPr>
      <w:r>
        <w:rPr/>
        <w:t>Entergy Guaranty issues to enable on line trading</w:t>
      </w:r>
    </w:p>
    <w:p>
      <w:pPr>
        <w:pStyle w:val="Normal"/>
        <w:ind w:start="360" w:end="0"/>
        <w:jc w:val="both"/>
        <w:rPr/>
      </w:pPr>
      <w:r>
        <w:rPr/>
      </w:r>
    </w:p>
    <w:p>
      <w:pPr>
        <w:pStyle w:val="Normal"/>
        <w:ind w:start="360" w:end="0"/>
        <w:jc w:val="both"/>
        <w:rPr/>
      </w:pPr>
      <w:r>
        <w:rPr/>
        <w:t>Mirant EOL consent</w:t>
      </w:r>
    </w:p>
    <w:p>
      <w:pPr>
        <w:pStyle w:val="Normal"/>
        <w:ind w:start="360" w:end="0"/>
        <w:jc w:val="both"/>
        <w:rPr/>
      </w:pPr>
      <w:r>
        <w:rPr/>
      </w:r>
    </w:p>
    <w:p>
      <w:pPr>
        <w:pStyle w:val="Normal"/>
        <w:ind w:start="360" w:end="0"/>
        <w:jc w:val="both"/>
        <w:rPr>
          <w:b/>
          <w:bCs/>
        </w:rPr>
      </w:pPr>
      <w:r>
        <w:rPr>
          <w:b/>
          <w:bCs/>
          <w:u w:val="single"/>
        </w:rPr>
        <w:t>STRUCTURED FINANCE</w:t>
      </w:r>
    </w:p>
    <w:p>
      <w:pPr>
        <w:pStyle w:val="Normal"/>
        <w:ind w:start="360" w:end="0"/>
        <w:jc w:val="both"/>
        <w:rPr>
          <w:b/>
          <w:bCs/>
        </w:rPr>
      </w:pPr>
      <w:r>
        <w:rPr>
          <w:b/>
          <w:bCs/>
        </w:rPr>
      </w:r>
    </w:p>
    <w:p>
      <w:pPr>
        <w:pStyle w:val="Normal"/>
        <w:ind w:start="360" w:end="0"/>
        <w:jc w:val="both"/>
        <w:rPr/>
      </w:pPr>
      <w:r>
        <w:rPr/>
        <w:t xml:space="preserve">Brazos VPP Vehicle:  Amendment to LIBOR definition </w:t>
      </w:r>
    </w:p>
    <w:p>
      <w:pPr>
        <w:pStyle w:val="Normal"/>
        <w:ind w:start="360" w:end="0"/>
        <w:jc w:val="both"/>
        <w:rPr/>
      </w:pPr>
      <w:r>
        <w:rPr/>
      </w:r>
    </w:p>
    <w:p>
      <w:pPr>
        <w:pStyle w:val="Normal"/>
        <w:ind w:start="360" w:end="0"/>
        <w:jc w:val="both"/>
        <w:rPr/>
      </w:pPr>
      <w:r>
        <w:rPr/>
        <w:t>Kstar:  Interest Rate swap amendment re modeled numbers and day count fraction; per Proffitt other aspects of deal are being reworked which will result in swap amendments.</w:t>
      </w:r>
    </w:p>
    <w:p>
      <w:pPr>
        <w:pStyle w:val="Normal"/>
        <w:ind w:start="360" w:end="0"/>
        <w:jc w:val="both"/>
        <w:rPr/>
      </w:pPr>
      <w:r>
        <w:rPr/>
      </w:r>
    </w:p>
    <w:p>
      <w:pPr>
        <w:pStyle w:val="Normal"/>
        <w:ind w:start="360" w:end="0"/>
        <w:jc w:val="both"/>
        <w:rPr/>
      </w:pPr>
      <w:r>
        <w:rPr/>
        <w:t>Raptor:  Advising with respect to outstanding equity swaps in respect of accounting issues (Cadwalader assisting)</w:t>
      </w:r>
    </w:p>
    <w:p>
      <w:pPr>
        <w:pStyle w:val="Normal"/>
        <w:ind w:start="360" w:end="0"/>
        <w:jc w:val="both"/>
        <w:rPr/>
      </w:pPr>
      <w:r>
        <w:rPr/>
      </w:r>
    </w:p>
    <w:p>
      <w:pPr>
        <w:pStyle w:val="Normal"/>
        <w:ind w:start="360" w:end="0"/>
        <w:jc w:val="both"/>
        <w:rPr/>
      </w:pPr>
      <w:r>
        <w:rPr/>
        <w:t>Prepay:  Assist in discussions of structure on new prepay with Merrill Lynch with Anne Koehler</w:t>
      </w:r>
    </w:p>
    <w:p>
      <w:pPr>
        <w:pStyle w:val="Normal"/>
        <w:ind w:start="360" w:end="0"/>
        <w:jc w:val="both"/>
        <w:rPr>
          <w:b/>
          <w:bCs/>
          <w:u w:val="single"/>
        </w:rPr>
      </w:pPr>
      <w:r>
        <w:rPr>
          <w:b/>
          <w:bCs/>
          <w:u w:val="single"/>
        </w:rPr>
      </w:r>
    </w:p>
    <w:p>
      <w:pPr>
        <w:pStyle w:val="Normal"/>
        <w:ind w:start="360" w:end="0"/>
        <w:jc w:val="both"/>
        <w:rPr>
          <w:b/>
          <w:bCs/>
          <w:u w:val="single"/>
        </w:rPr>
      </w:pPr>
      <w:r>
        <w:rPr>
          <w:b/>
          <w:bCs/>
          <w:u w:val="single"/>
        </w:rPr>
        <w:t>FORMS</w:t>
      </w:r>
    </w:p>
    <w:p>
      <w:pPr>
        <w:pStyle w:val="Normal"/>
        <w:ind w:start="360" w:end="0"/>
        <w:jc w:val="both"/>
        <w:rPr/>
      </w:pPr>
      <w:r>
        <w:rPr/>
        <w:t>Continued work on Master Netting Agreement for use by group:  new draft circulated; receiving comments from Canada;  working with Sager, Keohane and St Clair.</w:t>
      </w:r>
    </w:p>
    <w:p>
      <w:pPr>
        <w:pStyle w:val="Normal"/>
        <w:ind w:start="360" w:end="0"/>
        <w:jc w:val="both"/>
        <w:rPr/>
      </w:pPr>
      <w:r>
        <w:rPr/>
      </w:r>
    </w:p>
    <w:p>
      <w:pPr>
        <w:pStyle w:val="Normal"/>
        <w:ind w:start="360" w:end="0"/>
        <w:jc w:val="both"/>
        <w:rPr>
          <w:b/>
          <w:bCs/>
          <w:u w:val="single"/>
        </w:rPr>
      </w:pPr>
      <w:r>
        <w:rPr>
          <w:b/>
          <w:bCs/>
          <w:u w:val="single"/>
        </w:rPr>
        <w:t>GROUP TASKS</w:t>
      </w:r>
    </w:p>
    <w:p>
      <w:pPr>
        <w:pStyle w:val="Normal"/>
        <w:jc w:val="both"/>
        <w:rPr/>
      </w:pPr>
      <w:r>
        <w:rPr/>
        <w:t xml:space="preserve">      </w:t>
      </w:r>
      <w:r>
        <w:rPr/>
        <w:t>Coordinating paralegal projects and training.</w:t>
      </w:r>
    </w:p>
    <w:p>
      <w:pPr>
        <w:pStyle w:val="Normal"/>
        <w:ind w:start="360" w:end="0"/>
        <w:jc w:val="both"/>
        <w:rPr/>
      </w:pPr>
      <w:r>
        <w:rPr/>
        <w:t>Assigned to work with trading committee for "form reform."</w:t>
      </w:r>
    </w:p>
    <w:p>
      <w:pPr>
        <w:pStyle w:val="Normal"/>
        <w:ind w:start="360" w:end="0"/>
        <w:jc w:val="both"/>
        <w:rPr/>
      </w:pPr>
      <w:r>
        <w:rPr/>
      </w:r>
    </w:p>
    <w:p>
      <w:pPr>
        <w:pStyle w:val="Header"/>
        <w:tabs>
          <w:tab w:val="clear" w:pos="4320"/>
          <w:tab w:val="clear" w:pos="8640"/>
        </w:tabs>
        <w:rPr>
          <w:b/>
          <w:bCs/>
        </w:rPr>
      </w:pPr>
      <w:r>
        <w:rPr>
          <w:b/>
          <w:bCs/>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/mnt/main-storage/datasets/enron-docs/doc/Work_Report_Taylor_Form.doc</w:t>
    </w:r>
    <w:r>
      <w:rPr>
        <w:sz w:val="16"/>
      </w:rPr>
      <w:fldChar w:fldCharType="end"/>
    </w:r>
    <w:r>
      <w:rPr>
        <w:sz w:val="16"/>
      </w:rPr>
      <w:tab/>
      <w:tab/>
      <w:tab/>
      <w:tab/>
      <w:tab/>
      <w:tab/>
      <w:tab/>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4</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rPr>
  </w:style>
  <w:style w:type="character" w:styleId="WW8Num1z0">
    <w:name w:val="WW8Num1z0"/>
    <w:qFormat/>
    <w:rPr/>
  </w:style>
  <w:style w:type="character" w:styleId="WW8Num1z1">
    <w:name w:val="WW8Num1z1"/>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2001-08-27T17:03:00Z</dcterms:created>
  <dc:creator>protmp3</dc:creator>
  <dc:description/>
  <dc:language>en-CA</dc:language>
  <cp:lastModifiedBy>mcook</cp:lastModifiedBy>
  <cp:lastPrinted>2001-08-30T17:35:00Z</cp:lastPrinted>
  <dcterms:modified xsi:type="dcterms:W3CDTF">2001-08-30T20:05:00Z</dcterms:modified>
  <cp:revision>18</cp:revision>
  <dc:subject/>
  <dc:title>PROJECT</dc:title>
</cp:coreProperties>
</file>