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360" w:leader="none"/>
        </w:tabs>
        <w:ind w:hanging="360" w:start="720" w:end="0"/>
        <w:rPr>
          <w:color w:val="auto"/>
        </w:rPr>
      </w:pPr>
      <w:r>
        <w:rPr>
          <w:color w:val="auto"/>
        </w:rPr>
        <w:t>Talking Points</w:t>
      </w:r>
    </w:p>
    <w:p>
      <w:pPr>
        <w:pStyle w:val="Heading1"/>
        <w:tabs>
          <w:tab w:val="clear" w:pos="720"/>
          <w:tab w:val="left" w:pos="360" w:leader="none"/>
        </w:tabs>
        <w:ind w:hanging="360" w:start="720" w:end="0"/>
        <w:rPr>
          <w:color w:val="auto"/>
        </w:rPr>
      </w:pPr>
      <w:r>
        <w:rPr>
          <w:color w:val="auto"/>
        </w:rPr>
      </w:r>
    </w:p>
    <w:p>
      <w:pPr>
        <w:pStyle w:val="Heading1"/>
        <w:tabs>
          <w:tab w:val="clear" w:pos="720"/>
          <w:tab w:val="left" w:pos="360" w:leader="none"/>
        </w:tabs>
        <w:ind w:hanging="360" w:start="720" w:end="-540"/>
        <w:rPr>
          <w:color w:val="auto"/>
        </w:rPr>
      </w:pPr>
      <w:r>
        <w:rPr>
          <w:color w:val="auto"/>
        </w:rPr>
        <w:t>Deal has to close now:</w:t>
      </w:r>
    </w:p>
    <w:p>
      <w:pPr>
        <w:pStyle w:val="Normal"/>
        <w:rPr>
          <w:color w:val="auto"/>
        </w:rPr>
      </w:pPr>
      <w:r>
        <w:rPr>
          <w:color w:val="auto"/>
        </w:rPr>
      </w:r>
    </w:p>
    <w:p>
      <w:pPr>
        <w:pStyle w:val="Heading1"/>
        <w:tabs>
          <w:tab w:val="clear" w:pos="720"/>
          <w:tab w:val="left" w:pos="360" w:leader="none"/>
        </w:tabs>
        <w:ind w:hanging="360" w:start="720" w:end="-540"/>
        <w:rPr/>
      </w:pPr>
      <w:r>
        <w:rPr>
          <w:color w:val="auto"/>
        </w:rPr>
        <w:tab/>
      </w:r>
      <w:r>
        <w:rPr>
          <w:b w:val="false"/>
          <w:color w:val="auto"/>
        </w:rPr>
        <w:t>Planets as close to aligning as they will ever get</w:t>
      </w:r>
    </w:p>
    <w:p>
      <w:pPr>
        <w:pStyle w:val="Normal"/>
        <w:tabs>
          <w:tab w:val="clear" w:pos="720"/>
          <w:tab w:val="left" w:pos="360" w:leader="none"/>
        </w:tabs>
        <w:ind w:hanging="360" w:start="720" w:end="0"/>
        <w:rPr/>
      </w:pPr>
      <w:r>
        <w:rPr/>
        <w:tab/>
      </w:r>
    </w:p>
    <w:p>
      <w:pPr>
        <w:pStyle w:val="Normal"/>
        <w:tabs>
          <w:tab w:val="clear" w:pos="720"/>
          <w:tab w:val="left" w:pos="360" w:leader="none"/>
        </w:tabs>
        <w:ind w:hanging="360" w:start="720" w:end="0"/>
        <w:rPr/>
      </w:pPr>
      <w:r>
        <w:rPr/>
        <w:tab/>
        <w:t>Event risks significant (particularly construction delays) with high impact on contingent support</w:t>
      </w:r>
    </w:p>
    <w:p>
      <w:pPr>
        <w:pStyle w:val="Normal"/>
        <w:tabs>
          <w:tab w:val="clear" w:pos="720"/>
          <w:tab w:val="left" w:pos="360" w:leader="none"/>
        </w:tabs>
        <w:ind w:hanging="360" w:start="720" w:end="0"/>
        <w:rPr>
          <w:b/>
        </w:rPr>
      </w:pPr>
      <w:r>
        <w:rPr>
          <w:b/>
        </w:rPr>
      </w:r>
    </w:p>
    <w:p>
      <w:pPr>
        <w:pStyle w:val="Normal"/>
        <w:tabs>
          <w:tab w:val="clear" w:pos="720"/>
          <w:tab w:val="left" w:pos="360" w:leader="none"/>
        </w:tabs>
        <w:ind w:hanging="360" w:start="720" w:end="0"/>
        <w:rPr/>
      </w:pPr>
      <w:r>
        <w:rPr>
          <w:b/>
        </w:rPr>
        <w:tab/>
      </w:r>
      <w:r>
        <w:rPr/>
        <w:t>Actual closing date still unpredictable and dependent on governmental authorizations</w:t>
      </w:r>
    </w:p>
    <w:p>
      <w:pPr>
        <w:pStyle w:val="Heading1"/>
        <w:tabs>
          <w:tab w:val="clear" w:pos="720"/>
          <w:tab w:val="left" w:pos="360" w:leader="none"/>
        </w:tabs>
        <w:ind w:hanging="360" w:start="720" w:end="-540"/>
        <w:rPr>
          <w:b w:val="false"/>
          <w:color w:val="auto"/>
        </w:rPr>
      </w:pPr>
      <w:r>
        <w:rPr>
          <w:b w:val="false"/>
          <w:color w:val="auto"/>
        </w:rPr>
        <w:tab/>
      </w:r>
    </w:p>
    <w:p>
      <w:pPr>
        <w:pStyle w:val="Heading1"/>
        <w:tabs>
          <w:tab w:val="clear" w:pos="720"/>
          <w:tab w:val="left" w:pos="360" w:leader="none"/>
        </w:tabs>
        <w:ind w:hanging="360" w:start="720" w:end="-540"/>
        <w:rPr>
          <w:b w:val="false"/>
          <w:color w:val="auto"/>
        </w:rPr>
      </w:pPr>
      <w:r>
        <w:rPr>
          <w:b w:val="false"/>
          <w:color w:val="auto"/>
        </w:rPr>
        <w:tab/>
        <w:t>Team starting to disburse</w:t>
      </w:r>
    </w:p>
    <w:p>
      <w:pPr>
        <w:pStyle w:val="Heading1"/>
        <w:tabs>
          <w:tab w:val="clear" w:pos="720"/>
          <w:tab w:val="left" w:pos="360" w:leader="none"/>
        </w:tabs>
        <w:ind w:hanging="360" w:start="720" w:end="-540"/>
        <w:rPr>
          <w:b w:val="false"/>
          <w:color w:val="auto"/>
        </w:rPr>
      </w:pPr>
      <w:r>
        <w:rPr>
          <w:b w:val="false"/>
          <w:color w:val="auto"/>
        </w:rPr>
        <w:tab/>
        <w:tab/>
        <w:tab/>
      </w:r>
    </w:p>
    <w:p>
      <w:pPr>
        <w:pStyle w:val="Heading1"/>
        <w:tabs>
          <w:tab w:val="clear" w:pos="720"/>
          <w:tab w:val="left" w:pos="360" w:leader="none"/>
        </w:tabs>
        <w:ind w:hanging="360" w:start="720" w:end="-540"/>
        <w:rPr>
          <w:b w:val="false"/>
          <w:color w:val="auto"/>
        </w:rPr>
      </w:pPr>
      <w:r>
        <w:rPr>
          <w:b w:val="false"/>
          <w:color w:val="auto"/>
        </w:rPr>
        <w:tab/>
        <w:t>Substantial resource drain from new development</w:t>
      </w:r>
    </w:p>
    <w:p>
      <w:pPr>
        <w:pStyle w:val="Heading1"/>
        <w:tabs>
          <w:tab w:val="clear" w:pos="720"/>
          <w:tab w:val="left" w:pos="360" w:leader="none"/>
        </w:tabs>
        <w:ind w:hanging="360" w:start="720" w:end="-540"/>
        <w:rPr>
          <w:b w:val="false"/>
          <w:color w:val="auto"/>
        </w:rPr>
      </w:pPr>
      <w:r>
        <w:rPr>
          <w:b w:val="false"/>
          <w:color w:val="auto"/>
        </w:rPr>
        <w:tab/>
      </w:r>
    </w:p>
    <w:p>
      <w:pPr>
        <w:pStyle w:val="Heading1"/>
        <w:tabs>
          <w:tab w:val="clear" w:pos="720"/>
          <w:tab w:val="left" w:pos="360" w:leader="none"/>
        </w:tabs>
        <w:ind w:hanging="360" w:start="720" w:end="-540"/>
        <w:rPr>
          <w:b w:val="false"/>
          <w:color w:val="auto"/>
        </w:rPr>
      </w:pPr>
      <w:r>
        <w:rPr>
          <w:b w:val="false"/>
          <w:color w:val="auto"/>
        </w:rPr>
        <w:tab/>
        <w:t>Domino effect on other JV’s forcing equity calls and/or high cost bridge financings</w:t>
      </w:r>
    </w:p>
    <w:p>
      <w:pPr>
        <w:pStyle w:val="Heading1"/>
        <w:tabs>
          <w:tab w:val="clear" w:pos="720"/>
          <w:tab w:val="left" w:pos="360" w:leader="none"/>
        </w:tabs>
        <w:ind w:hanging="360" w:start="720" w:end="-540"/>
        <w:rPr>
          <w:b w:val="false"/>
          <w:color w:val="auto"/>
        </w:rPr>
      </w:pPr>
      <w:r>
        <w:rPr>
          <w:b w:val="false"/>
          <w:color w:val="auto"/>
        </w:rPr>
        <w:tab/>
        <w:tab/>
      </w:r>
    </w:p>
    <w:p>
      <w:pPr>
        <w:pStyle w:val="Heading1"/>
        <w:tabs>
          <w:tab w:val="clear" w:pos="720"/>
          <w:tab w:val="left" w:pos="360" w:leader="none"/>
        </w:tabs>
        <w:ind w:hanging="360" w:start="720" w:end="-540"/>
        <w:rPr>
          <w:b w:val="false"/>
          <w:color w:val="auto"/>
        </w:rPr>
      </w:pPr>
      <w:r>
        <w:rPr>
          <w:b w:val="false"/>
          <w:color w:val="auto"/>
        </w:rPr>
        <w:tab/>
        <w:t>Converting from pure equity risk to contingent support makes sense from risk and return perspective</w:t>
      </w:r>
    </w:p>
    <w:p>
      <w:pPr>
        <w:pStyle w:val="Normal"/>
        <w:tabs>
          <w:tab w:val="clear" w:pos="720"/>
          <w:tab w:val="left" w:pos="360" w:leader="none"/>
        </w:tabs>
        <w:ind w:hanging="360" w:start="720" w:end="-540"/>
        <w:rPr/>
      </w:pPr>
      <w:r>
        <w:rPr/>
        <w:tab/>
      </w:r>
    </w:p>
    <w:p>
      <w:pPr>
        <w:pStyle w:val="Normal"/>
        <w:tabs>
          <w:tab w:val="clear" w:pos="720"/>
          <w:tab w:val="left" w:pos="360" w:leader="none"/>
        </w:tabs>
        <w:ind w:hanging="360" w:start="720" w:end="-540"/>
        <w:rPr/>
      </w:pPr>
      <w:r>
        <w:rPr/>
        <w:tab/>
        <w:t>Contingent support can be structured for isolated residual risks and in many cases can eventually fall away</w:t>
      </w:r>
    </w:p>
    <w:p>
      <w:pPr>
        <w:pStyle w:val="Normal"/>
        <w:tabs>
          <w:tab w:val="clear" w:pos="720"/>
          <w:tab w:val="left" w:pos="360" w:leader="none"/>
        </w:tabs>
        <w:ind w:hanging="360" w:start="720" w:end="-540"/>
        <w:rPr/>
      </w:pPr>
      <w:r>
        <w:rPr/>
        <w:tab/>
      </w:r>
    </w:p>
    <w:p>
      <w:pPr>
        <w:pStyle w:val="Normal"/>
        <w:tabs>
          <w:tab w:val="clear" w:pos="720"/>
          <w:tab w:val="left" w:pos="360" w:leader="none"/>
        </w:tabs>
        <w:ind w:hanging="360" w:start="720" w:end="-540"/>
        <w:rPr/>
      </w:pPr>
      <w:r>
        <w:rPr/>
        <w:tab/>
        <w:t>Residual risks are principally related to gas supply, are manageable and if sponsors are unprepared to take them then it is unreasonable to suggest that the lenders should</w:t>
      </w:r>
    </w:p>
    <w:p>
      <w:pPr>
        <w:pStyle w:val="Normal"/>
        <w:tabs>
          <w:tab w:val="clear" w:pos="720"/>
          <w:tab w:val="left" w:pos="360" w:leader="none"/>
        </w:tabs>
        <w:ind w:hanging="360" w:start="720" w:end="-540"/>
        <w:rPr/>
      </w:pPr>
      <w:r>
        <w:rPr/>
        <w:tab/>
      </w:r>
    </w:p>
    <w:p>
      <w:pPr>
        <w:pStyle w:val="Heading3"/>
        <w:ind w:hanging="0" w:start="0"/>
        <w:rPr/>
      </w:pPr>
      <w:r>
        <w:rPr/>
        <w:t>Central Bank</w:t>
      </w:r>
    </w:p>
    <w:p>
      <w:pPr>
        <w:pStyle w:val="Normal"/>
        <w:rPr>
          <w:b/>
        </w:rPr>
      </w:pPr>
      <w:r>
        <w:rPr>
          <w:b/>
        </w:rPr>
      </w:r>
    </w:p>
    <w:p>
      <w:pPr>
        <w:pStyle w:val="Heading1"/>
        <w:tabs>
          <w:tab w:val="clear" w:pos="720"/>
          <w:tab w:val="left" w:pos="360" w:leader="none"/>
        </w:tabs>
        <w:ind w:hanging="360" w:start="720" w:end="-540"/>
        <w:rPr>
          <w:color w:val="auto"/>
        </w:rPr>
      </w:pPr>
      <w:r>
        <w:rPr>
          <w:color w:val="auto"/>
        </w:rPr>
        <w:tab/>
        <w:t>TOP, US $ Accounts, Cross collateralization</w:t>
      </w:r>
    </w:p>
    <w:p>
      <w:pPr>
        <w:pStyle w:val="Normal"/>
        <w:rPr>
          <w:color w:val="auto"/>
        </w:rPr>
      </w:pPr>
      <w:r>
        <w:rPr>
          <w:color w:val="auto"/>
        </w:rPr>
      </w:r>
    </w:p>
    <w:p>
      <w:pPr>
        <w:pStyle w:val="BodyTextIndent2"/>
        <w:rPr/>
      </w:pPr>
      <w:r>
        <w:rPr/>
        <w:tab/>
        <w:t xml:space="preserve">Have prepared letter proposing commercial solutions to lenders.  Solutions designed to allow project closing without further review by CB or any other governmental authority. </w:t>
      </w:r>
    </w:p>
    <w:p>
      <w:pPr>
        <w:pStyle w:val="BodyTextIndent2"/>
        <w:rPr/>
      </w:pPr>
      <w:r>
        <w:rPr/>
      </w:r>
    </w:p>
    <w:p>
      <w:pPr>
        <w:pStyle w:val="BodyTextIndent2"/>
        <w:rPr/>
      </w:pPr>
      <w:r>
        <w:rPr/>
        <w:tab/>
        <w:t xml:space="preserve">TOP solution involves TBS agreeing to provide 10 year make-up on gas while YPF supply contract only allows one year make-up.  Due to termination structure, residual risk to Enron/partners is one year of uncompensated gas delivery.  TBS will charge an additional $.15/mcf to cover the risk.  </w:t>
      </w:r>
    </w:p>
    <w:p>
      <w:pPr>
        <w:pStyle w:val="Normal"/>
        <w:tabs>
          <w:tab w:val="left" w:pos="720" w:leader="none"/>
        </w:tabs>
        <w:ind w:hanging="720" w:start="720" w:end="0"/>
        <w:rPr/>
      </w:pPr>
      <w:r>
        <w:rPr/>
      </w:r>
    </w:p>
    <w:p>
      <w:pPr>
        <w:pStyle w:val="Normal"/>
        <w:tabs>
          <w:tab w:val="left" w:pos="720" w:leader="none"/>
        </w:tabs>
        <w:ind w:hanging="720" w:start="720" w:end="0"/>
        <w:rPr/>
      </w:pPr>
      <w:r>
        <w:rPr/>
        <w:tab/>
      </w:r>
      <w:r>
        <w:br w:type="page"/>
      </w:r>
    </w:p>
    <w:p>
      <w:pPr>
        <w:pStyle w:val="Heading1"/>
        <w:tabs>
          <w:tab w:val="clear" w:pos="720"/>
          <w:tab w:val="left" w:pos="360" w:leader="none"/>
        </w:tabs>
        <w:ind w:hanging="360" w:start="720" w:end="-540"/>
        <w:rPr>
          <w:b w:val="false"/>
          <w:color w:val="auto"/>
        </w:rPr>
      </w:pPr>
      <w:r>
        <w:rPr>
          <w:b w:val="false"/>
          <w:color w:val="auto"/>
        </w:rPr>
      </w:r>
    </w:p>
    <w:p>
      <w:pPr>
        <w:pStyle w:val="Heading1"/>
        <w:tabs>
          <w:tab w:val="clear" w:pos="720"/>
          <w:tab w:val="left" w:pos="360" w:leader="none"/>
        </w:tabs>
        <w:ind w:hanging="360" w:start="720" w:end="0"/>
        <w:rPr>
          <w:highlight w:val="yellow"/>
        </w:rPr>
      </w:pPr>
      <w:r>
        <w:rPr>
          <w:highlight w:val="yellow"/>
        </w:rPr>
        <w:t>FUEL SUPPLY SOLUTION TO FUNDING CUIABA LOAN</w:t>
      </w:r>
    </w:p>
    <w:p>
      <w:pPr>
        <w:pStyle w:val="Normal"/>
        <w:rPr/>
      </w:pPr>
      <w:r>
        <w:rPr/>
      </w:r>
    </w:p>
    <w:p>
      <w:pPr>
        <w:pStyle w:val="Normal"/>
        <w:numPr>
          <w:ilvl w:val="0"/>
          <w:numId w:val="5"/>
        </w:numPr>
        <w:rPr>
          <w:b/>
        </w:rPr>
      </w:pPr>
      <w:r>
        <w:rPr>
          <w:b/>
        </w:rPr>
        <w:t>Lenders position for funding conditions</w:t>
      </w:r>
    </w:p>
    <w:p>
      <w:pPr>
        <w:pStyle w:val="Normal"/>
        <w:numPr>
          <w:ilvl w:val="0"/>
          <w:numId w:val="6"/>
        </w:numPr>
        <w:rPr>
          <w:b/>
        </w:rPr>
      </w:pPr>
      <w:r>
        <w:rPr>
          <w:b/>
        </w:rPr>
        <w:t>Approval  of transfer to Andina 50% of the volumes under the Ypf Fuel Supply Contract</w:t>
      </w:r>
    </w:p>
    <w:p>
      <w:pPr>
        <w:pStyle w:val="Normal"/>
        <w:numPr>
          <w:ilvl w:val="0"/>
          <w:numId w:val="2"/>
        </w:numPr>
        <w:rPr>
          <w:b/>
        </w:rPr>
      </w:pPr>
      <w:r>
        <w:rPr>
          <w:b/>
        </w:rPr>
        <w:t>Receipt of a one year transit permit from Sirese</w:t>
      </w:r>
    </w:p>
    <w:p>
      <w:pPr>
        <w:pStyle w:val="Normal"/>
        <w:numPr>
          <w:ilvl w:val="0"/>
          <w:numId w:val="2"/>
        </w:numPr>
        <w:rPr>
          <w:b/>
        </w:rPr>
      </w:pPr>
      <w:r>
        <w:rPr>
          <w:b/>
        </w:rPr>
        <w:t xml:space="preserve">Approval of a 20 year export permit for Maxus or additional Andina Volumes           </w:t>
      </w:r>
    </w:p>
    <w:p>
      <w:pPr>
        <w:pStyle w:val="Normal"/>
        <w:numPr>
          <w:ilvl w:val="0"/>
          <w:numId w:val="2"/>
        </w:numPr>
        <w:rPr>
          <w:b/>
        </w:rPr>
      </w:pPr>
      <w:r>
        <w:rPr>
          <w:b/>
        </w:rPr>
        <w:t>If  Ypf can not provide gas from Argentina for failure to renew Transit permit or the Argentine Export permit is revoked then Ypf shall provide its 50% under the contract to the Rio Grande Delivery point</w:t>
      </w:r>
    </w:p>
    <w:p>
      <w:pPr>
        <w:pStyle w:val="Normal"/>
        <w:numPr>
          <w:ilvl w:val="0"/>
          <w:numId w:val="2"/>
        </w:numPr>
        <w:rPr>
          <w:b/>
        </w:rPr>
      </w:pPr>
      <w:r>
        <w:rPr>
          <w:b/>
        </w:rPr>
        <w:t>Stone &amp; Webster sign off on all  additional Andina/Maxus reserves and that the infrastructure exists to deliver the gas per the original agreement</w:t>
      </w:r>
    </w:p>
    <w:p>
      <w:pPr>
        <w:pStyle w:val="Normal"/>
        <w:numPr>
          <w:ilvl w:val="0"/>
          <w:numId w:val="2"/>
        </w:numPr>
        <w:rPr>
          <w:b/>
        </w:rPr>
      </w:pPr>
      <w:r>
        <w:rPr>
          <w:b/>
        </w:rPr>
        <w:t>Ammendment to the Ypf consent and asignment to require Ypf to enter into a  sub contract with Maxus/Andina to deliver gas to Rio Grande on terms consistent with the Ypf supply agreement and to not commit the portion of its Maxus  reserves for Cuaba to any other Project.Lenders want a right to review such sub contract</w:t>
      </w:r>
    </w:p>
    <w:p>
      <w:pPr>
        <w:pStyle w:val="Normal"/>
        <w:rPr>
          <w:b/>
        </w:rPr>
      </w:pPr>
      <w:r>
        <w:rPr>
          <w:b/>
        </w:rPr>
      </w:r>
    </w:p>
    <w:p>
      <w:pPr>
        <w:pStyle w:val="Normal"/>
        <w:rPr>
          <w:b/>
        </w:rPr>
      </w:pPr>
      <w:r>
        <w:rPr>
          <w:b/>
        </w:rPr>
      </w:r>
    </w:p>
    <w:p>
      <w:pPr>
        <w:pStyle w:val="Normal"/>
        <w:rPr>
          <w:b/>
        </w:rPr>
      </w:pPr>
      <w:r>
        <w:rPr>
          <w:b/>
        </w:rPr>
        <w:t>Time to complete:  45 to 180 days</w:t>
      </w:r>
    </w:p>
    <w:p>
      <w:pPr>
        <w:pStyle w:val="Normal"/>
        <w:rPr>
          <w:b/>
        </w:rPr>
      </w:pPr>
      <w:r>
        <w:rPr>
          <w:b/>
        </w:rPr>
      </w:r>
    </w:p>
    <w:p>
      <w:pPr>
        <w:pStyle w:val="Normal"/>
        <w:numPr>
          <w:ilvl w:val="0"/>
          <w:numId w:val="5"/>
        </w:numPr>
        <w:rPr>
          <w:b/>
        </w:rPr>
      </w:pPr>
      <w:r>
        <w:rPr>
          <w:b/>
        </w:rPr>
        <w:t>Enron Proposal  to Fund Loan immediately:</w:t>
      </w:r>
    </w:p>
    <w:p>
      <w:pPr>
        <w:pStyle w:val="Normal"/>
        <w:numPr>
          <w:ilvl w:val="0"/>
          <w:numId w:val="6"/>
        </w:numPr>
        <w:rPr>
          <w:b/>
        </w:rPr>
      </w:pPr>
      <w:r>
        <w:rPr>
          <w:b/>
        </w:rPr>
        <w:t>Approval  of transfer to Andina 50% of the volumes under the Ypf Fuel Supply Contract</w:t>
      </w:r>
    </w:p>
    <w:p>
      <w:pPr>
        <w:pStyle w:val="Normal"/>
        <w:numPr>
          <w:ilvl w:val="0"/>
          <w:numId w:val="6"/>
        </w:numPr>
        <w:rPr>
          <w:b/>
        </w:rPr>
      </w:pPr>
      <w:r>
        <w:rPr>
          <w:b/>
        </w:rPr>
        <w:t xml:space="preserve">Execution of Backup fuel supply contract between Shell/Enron enetities and TBS with full </w:t>
      </w:r>
    </w:p>
    <w:p>
      <w:pPr>
        <w:pStyle w:val="Normal"/>
        <w:rPr>
          <w:b/>
        </w:rPr>
      </w:pPr>
      <w:r>
        <w:rPr>
          <w:b/>
        </w:rPr>
        <w:t xml:space="preserve">        </w:t>
      </w:r>
      <w:r>
        <w:rPr>
          <w:b/>
        </w:rPr>
        <w:t>Sponsor  guarantees behind it.Such Contract  would have the following characteristics:</w:t>
      </w:r>
    </w:p>
    <w:p>
      <w:pPr>
        <w:pStyle w:val="Normal"/>
        <w:numPr>
          <w:ilvl w:val="0"/>
          <w:numId w:val="3"/>
        </w:numPr>
        <w:rPr>
          <w:b/>
        </w:rPr>
      </w:pPr>
      <w:r>
        <w:rPr>
          <w:b/>
        </w:rPr>
        <w:t xml:space="preserve">Would work similar to Ypf agreement with full uncapped cover if alternative fuels are located </w:t>
      </w:r>
    </w:p>
    <w:p>
      <w:pPr>
        <w:pStyle w:val="Normal"/>
        <w:numPr>
          <w:ilvl w:val="0"/>
          <w:numId w:val="3"/>
        </w:numPr>
        <w:rPr>
          <w:b/>
        </w:rPr>
      </w:pPr>
      <w:r>
        <w:rPr>
          <w:b/>
        </w:rPr>
        <w:t>If Alternative fuels are not located then Enron/Shell will have to pay damages capped at the annueal fixed charges of  about $ 70mm or in the event of accelleration amount  capped at about $170mm(roughly half the debt)</w:t>
      </w:r>
    </w:p>
    <w:p>
      <w:pPr>
        <w:pStyle w:val="Normal"/>
        <w:numPr>
          <w:ilvl w:val="0"/>
          <w:numId w:val="4"/>
        </w:numPr>
        <w:rPr>
          <w:b/>
        </w:rPr>
      </w:pPr>
      <w:r>
        <w:rPr>
          <w:b/>
        </w:rPr>
        <w:t>Such backup contract would no longer be requied once the following criteria are satisfied</w:t>
      </w:r>
    </w:p>
    <w:p>
      <w:pPr>
        <w:pStyle w:val="Normal"/>
        <w:rPr>
          <w:b/>
        </w:rPr>
      </w:pPr>
      <w:r>
        <w:rPr>
          <w:b/>
        </w:rPr>
        <w:t xml:space="preserve">                   </w:t>
      </w:r>
      <w:r>
        <w:rPr>
          <w:b/>
        </w:rPr>
        <w:t>1.       - Receipt of a one year transit permit from Sirese</w:t>
      </w:r>
    </w:p>
    <w:p>
      <w:pPr>
        <w:pStyle w:val="Heading2"/>
        <w:rPr/>
      </w:pPr>
      <w:r>
        <w:rPr/>
        <w:t xml:space="preserve">-Approval of a 20 year export permit for Maxus or additional Andina Volumes           </w:t>
      </w:r>
    </w:p>
    <w:p>
      <w:pPr>
        <w:pStyle w:val="BodyTextIndent"/>
        <w:rPr/>
      </w:pPr>
      <w:r>
        <w:rPr/>
        <w:t>-If  Ypf can not provide gas from Argentina for failure to renew Transit permit or the Argentine Export permit is revoked then Ypf shall provide its 50% under the contract to the Rio Grande Delivery point</w:t>
      </w:r>
    </w:p>
    <w:p>
      <w:pPr>
        <w:pStyle w:val="BodyTextIndent"/>
        <w:rPr/>
      </w:pPr>
      <w:r>
        <w:rPr/>
        <w:t>-Stone &amp; Webster sign off on all  additional Andina/Maxus reserves and that the infrastructure exists to deliver the gas per the original agreement</w:t>
      </w:r>
    </w:p>
    <w:p>
      <w:pPr>
        <w:pStyle w:val="BodyTextIndent"/>
        <w:rPr/>
      </w:pPr>
      <w:r>
        <w:rPr/>
        <w:t xml:space="preserve">-Ammendment to the Ypf consent and asignment to require Ypf to enter into a  sub contract with Maxus/Andina to deliver gas to Rio Grande on terms consistent with the Ypf supply agreement and to not commit the portion of its Maxus  reserves for Cuaba to any other Project.Lenders want a right to review such sub contract,o r                                                             </w:t>
      </w:r>
    </w:p>
    <w:p>
      <w:pPr>
        <w:pStyle w:val="BodyTextIndent"/>
        <w:rPr/>
      </w:pPr>
      <w:r>
        <w:rPr/>
        <w:t>2. We replace the Ypf volumes with bonafide  20 year volumes from project  “good guy” or   some     other source</w:t>
      </w:r>
    </w:p>
    <w:p>
      <w:pPr>
        <w:pStyle w:val="BodyTextIndent"/>
        <w:ind w:start="0" w:end="0"/>
        <w:rPr/>
      </w:pPr>
      <w:r>
        <w:rPr/>
      </w:r>
    </w:p>
    <w:p>
      <w:pPr>
        <w:pStyle w:val="BodyTextIndent"/>
        <w:ind w:start="0" w:end="0"/>
        <w:rPr/>
      </w:pPr>
      <w:r>
        <w:rPr/>
      </w:r>
    </w:p>
    <w:p>
      <w:pPr>
        <w:pStyle w:val="BodyTextIndent"/>
        <w:ind w:start="0" w:end="0"/>
        <w:rPr/>
      </w:pPr>
      <w:r>
        <w:rPr/>
        <w:t xml:space="preserve">   </w:t>
      </w:r>
      <w:r>
        <w:rPr/>
        <w:t>Time to complete-30 –45 days</w:t>
      </w:r>
    </w:p>
    <w:p>
      <w:pPr>
        <w:pStyle w:val="BodyTextIndent"/>
        <w:ind w:start="0" w:end="0"/>
        <w:rPr/>
      </w:pPr>
      <w:r>
        <w:rPr/>
      </w:r>
    </w:p>
    <w:p>
      <w:pPr>
        <w:pStyle w:val="BodyTextIndent"/>
        <w:ind w:start="0" w:end="0"/>
        <w:rPr>
          <w:b w:val="false"/>
        </w:rPr>
      </w:pPr>
      <w:r>
        <w:rPr>
          <w:b w:val="false"/>
        </w:rPr>
        <w:t>Comments</w:t>
      </w:r>
    </w:p>
    <w:p>
      <w:pPr>
        <w:pStyle w:val="BodyTextIndent"/>
        <w:ind w:start="0" w:end="0"/>
        <w:rPr/>
      </w:pPr>
      <w:r>
        <w:rPr>
          <w:u w:val="single"/>
        </w:rPr>
        <w:t>Option 1:</w:t>
      </w:r>
      <w:r>
        <w:rPr/>
        <w:t>While option one provides less risk to Enron we could be waiting some time to close and the planets are fairly closely aligned for closing right now-more risk of crickets jumping out of the jar</w:t>
      </w:r>
    </w:p>
    <w:p>
      <w:pPr>
        <w:pStyle w:val="BodyTextIndent"/>
        <w:ind w:start="0" w:end="0"/>
        <w:rPr/>
      </w:pPr>
      <w:r>
        <w:rPr/>
      </w:r>
    </w:p>
    <w:p>
      <w:pPr>
        <w:pStyle w:val="BodyTextIndent"/>
        <w:ind w:start="0" w:end="0"/>
        <w:rPr/>
      </w:pPr>
      <w:r>
        <w:rPr>
          <w:u w:val="single"/>
        </w:rPr>
        <w:t xml:space="preserve">Option 2: </w:t>
      </w:r>
      <w:r>
        <w:rPr/>
        <w:t>This option puts us in control of our own destiny.It increases our guarantee exposure but reduces our amount of  equity in the deal.Potential issues include:</w:t>
      </w:r>
    </w:p>
    <w:p>
      <w:pPr>
        <w:pStyle w:val="BodyTextIndent"/>
        <w:ind w:start="0" w:end="0"/>
        <w:rPr/>
      </w:pPr>
      <w:r>
        <w:rPr/>
      </w:r>
    </w:p>
    <w:p>
      <w:pPr>
        <w:pStyle w:val="BodyTextIndent"/>
        <w:numPr>
          <w:ilvl w:val="0"/>
          <w:numId w:val="7"/>
        </w:numPr>
        <w:rPr/>
      </w:pPr>
      <w:r>
        <w:rPr/>
        <w:t>Shell ma balk- IF so this leaves 100% of the replacement/backup contract risk rewards with Enron.We think the potential rewards are greater than the risks right now given the Bolivian market</w:t>
      </w:r>
    </w:p>
    <w:p>
      <w:pPr>
        <w:pStyle w:val="BodyTextIndent"/>
        <w:numPr>
          <w:ilvl w:val="0"/>
          <w:numId w:val="7"/>
        </w:numPr>
        <w:rPr/>
      </w:pPr>
      <w:r>
        <w:rPr/>
        <w:t>May require Enron board approval  for disproportionate guarantees relative to other partners and amount of gtee exposure</w:t>
      </w:r>
    </w:p>
    <w:p>
      <w:pPr>
        <w:pStyle w:val="BodyTextIndent"/>
        <w:numPr>
          <w:ilvl w:val="0"/>
          <w:numId w:val="7"/>
        </w:numPr>
        <w:rPr/>
      </w:pPr>
      <w:r>
        <w:rPr/>
        <w:t>Could argue position is unhedged- Counter arguments for hedges are – the Ypf contract itself if they perform,the bolivian market, and the annual /overall caps of the guarantee which have very remote probability</w:t>
      </w:r>
    </w:p>
    <w:p>
      <w:pPr>
        <w:pStyle w:val="BodyTextIndent"/>
        <w:ind w:start="0" w:end="0"/>
        <w:rPr/>
      </w:pPr>
      <w:r>
        <w:rPr/>
      </w:r>
    </w:p>
    <w:p>
      <w:pPr>
        <w:pStyle w:val="BodyTextIndent"/>
        <w:ind w:start="0" w:end="0"/>
        <w:rPr/>
      </w:pPr>
      <w:r>
        <w:rPr/>
      </w:r>
    </w:p>
    <w:p>
      <w:pPr>
        <w:pStyle w:val="BodyTextIndent"/>
        <w:ind w:start="0" w:end="0"/>
        <w:rPr/>
      </w:pPr>
      <w:r>
        <w:rPr>
          <w:b w:val="false"/>
        </w:rPr>
        <w:t>RECOMMENDATION – PURSUE</w:t>
      </w:r>
      <w:r>
        <w:rPr/>
        <w:t xml:space="preserve"> OPTION 2</w:t>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720"/>
        </w:tabs>
        <w:ind w:start="720" w:hanging="360"/>
      </w:pPr>
      <w:rPr>
        <w:rFonts w:ascii="Liberation Serif" w:hAnsi="Liberation Serif" w:cs="Liberation Serif" w:hint="default"/>
      </w:rPr>
    </w:lvl>
  </w:abstractNum>
  <w:abstractNum w:abstractNumId="4">
    <w:lvl w:ilvl="0">
      <w:numFmt w:val="bullet"/>
      <w:lvlText w:val="-"/>
      <w:lvlJc w:val="start"/>
      <w:pPr>
        <w:tabs>
          <w:tab w:val="num" w:pos="720"/>
        </w:tabs>
        <w:ind w:start="720" w:hanging="360"/>
      </w:pPr>
      <w:rPr>
        <w:rFonts w:ascii="Liberation Serif" w:hAnsi="Liberation Serif" w:cs="Liberation Serif"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720"/>
        </w:tabs>
        <w:ind w:start="72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2">
    <w:name w:val="heading 2"/>
    <w:basedOn w:val="Normal"/>
    <w:next w:val="Normal"/>
    <w:qFormat/>
    <w:pPr>
      <w:keepNext w:val="true"/>
      <w:numPr>
        <w:ilvl w:val="1"/>
        <w:numId w:val="1"/>
      </w:numPr>
      <w:ind w:firstLine="720" w:start="720" w:end="0"/>
      <w:outlineLvl w:val="1"/>
    </w:pPr>
    <w:rPr>
      <w:b/>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b/>
    </w:rPr>
  </w:style>
  <w:style w:type="paragraph" w:styleId="BodyTextIndent2">
    <w:name w:val="Body Text Indent 2"/>
    <w:basedOn w:val="Normal"/>
    <w:qFormat/>
    <w:pPr>
      <w:tabs>
        <w:tab w:val="left" w:pos="720" w:leader="none"/>
      </w:tabs>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2000-02-03T09:40:00Z</dcterms:created>
  <dc:creator>RICHARD A LAMMERS</dc:creator>
  <dc:description/>
  <dc:language>en-CA</dc:language>
  <cp:lastModifiedBy>Enron Technology</cp:lastModifiedBy>
  <dcterms:modified xsi:type="dcterms:W3CDTF">2000-02-03T09:40:00Z</dcterms:modified>
  <cp:revision>2</cp:revision>
  <dc:subject/>
  <dc:title>FUEL SUPPLY SOLUTION TO FUNDING CUIABA LOAN</dc:title>
</cp:coreProperties>
</file>