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r>
        <mc:AlternateContent>
          <mc:Choice Requires="wps">
            <w:drawing>
              <wp:anchor behindDoc="0" distT="0" distB="0" distL="114300" distR="114300" simplePos="0" locked="0" layoutInCell="0" allowOverlap="1" relativeHeight="2">
                <wp:simplePos x="0" y="0"/>
                <wp:positionH relativeFrom="column">
                  <wp:posOffset>0</wp:posOffset>
                </wp:positionH>
                <wp:positionV relativeFrom="paragraph">
                  <wp:posOffset>635</wp:posOffset>
                </wp:positionV>
                <wp:extent cx="5772150" cy="6791325"/>
                <wp:effectExtent l="0" t="0" r="0" b="0"/>
                <wp:wrapSquare wrapText="bothSides"/>
                <wp:docPr id="1" name="Frame1"/>
                <a:graphic xmlns:a="http://schemas.openxmlformats.org/drawingml/2006/main">
                  <a:graphicData uri="http://schemas.microsoft.com/office/word/2010/wordprocessingShape">
                    <wps:wsp>
                      <wps:cNvSpPr txBox="1"/>
                      <wps:spPr>
                        <a:xfrm>
                          <a:off x="0" y="0"/>
                          <a:ext cx="5772150" cy="6791325"/>
                        </a:xfrm>
                        <a:prstGeom prst="rect"/>
                        <a:solidFill>
                          <a:srgbClr val="FFFFFF">
                            <a:alpha val="0"/>
                          </a:srgbClr>
                        </a:solidFill>
                      </wps:spPr>
                      <wps:txbx>
                        <w:txbxContent>
                          <w:tbl>
                            <w:tblPr>
                              <w:tblW w:w="9090" w:type="dxa"/>
                              <w:jc w:val="start"/>
                              <w:tblInd w:w="0" w:type="dxa"/>
                              <w:tblLayout w:type="fixed"/>
                              <w:tblCellMar>
                                <w:top w:w="0" w:type="dxa"/>
                                <w:start w:w="0" w:type="dxa"/>
                                <w:bottom w:w="0" w:type="dxa"/>
                                <w:end w:w="0" w:type="dxa"/>
                              </w:tblCellMar>
                            </w:tblPr>
                            <w:tblGrid>
                              <w:gridCol w:w="2300"/>
                              <w:gridCol w:w="177"/>
                              <w:gridCol w:w="6613"/>
                            </w:tblGrid>
                            <w:tr>
                              <w:trPr/>
                              <w:tc>
                                <w:tcPr>
                                  <w:tcW w:w="2300" w:type="dxa"/>
                                  <w:tcBorders/>
                                </w:tcPr>
                                <w:p>
                                  <w:pPr>
                                    <w:pStyle w:val="Normal"/>
                                    <w:widowControl w:val="false"/>
                                    <w:jc w:val="both"/>
                                    <w:rPr>
                                      <w:sz w:val="22"/>
                                    </w:rPr>
                                  </w:pPr>
                                  <w:r>
                                    <w:rPr>
                                      <w:b/>
                                      <w:sz w:val="22"/>
                                    </w:rPr>
                                    <w:t>Position</w:t>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rPr>
                                      <w:sz w:val="22"/>
                                    </w:rPr>
                                  </w:pPr>
                                  <w:r>
                                    <w:rPr>
                                      <w:sz w:val="22"/>
                                    </w:rPr>
                                    <w:t>Director</w:t>
                                  </w:r>
                                </w:p>
                                <w:p>
                                  <w:pPr>
                                    <w:pStyle w:val="Normal"/>
                                    <w:widowControl w:val="false"/>
                                    <w:rPr>
                                      <w:sz w:val="22"/>
                                    </w:rPr>
                                  </w:pPr>
                                  <w:r>
                                    <w:rPr>
                                      <w:sz w:val="22"/>
                                    </w:rPr>
                                    <w:t>InteCap, Inc.</w:t>
                                  </w:r>
                                </w:p>
                                <w:p>
                                  <w:pPr>
                                    <w:pStyle w:val="Normal"/>
                                    <w:widowControl w:val="false"/>
                                    <w:rPr>
                                      <w:sz w:val="22"/>
                                    </w:rPr>
                                  </w:pPr>
                                  <w:r>
                                    <w:rPr>
                                      <w:sz w:val="22"/>
                                    </w:rPr>
                                    <w:t>1415 Louisiana St., Suite 3500</w:t>
                                  </w:r>
                                </w:p>
                                <w:p>
                                  <w:pPr>
                                    <w:pStyle w:val="Normal"/>
                                    <w:widowControl w:val="false"/>
                                    <w:rPr>
                                      <w:sz w:val="22"/>
                                    </w:rPr>
                                  </w:pPr>
                                  <w:r>
                                    <w:rPr>
                                      <w:sz w:val="22"/>
                                    </w:rPr>
                                    <w:t>Houston, Texas  77002</w:t>
                                  </w:r>
                                </w:p>
                                <w:p>
                                  <w:pPr>
                                    <w:pStyle w:val="Normal"/>
                                    <w:widowControl w:val="false"/>
                                    <w:rPr>
                                      <w:sz w:val="22"/>
                                    </w:rPr>
                                  </w:pPr>
                                  <w:r>
                                    <w:rPr>
                                      <w:sz w:val="22"/>
                                    </w:rPr>
                                    <w:t>Direct Dial:  (713) 658-0646</w:t>
                                  </w:r>
                                </w:p>
                                <w:p>
                                  <w:pPr>
                                    <w:pStyle w:val="Normal"/>
                                    <w:widowControl w:val="false"/>
                                    <w:rPr>
                                      <w:sz w:val="22"/>
                                    </w:rPr>
                                  </w:pPr>
                                  <w:r>
                                    <w:rPr>
                                      <w:sz w:val="22"/>
                                    </w:rPr>
                                    <w:t xml:space="preserve">Facsimile:    (713) 658-0660 </w:t>
                                  </w:r>
                                </w:p>
                                <w:p>
                                  <w:pPr>
                                    <w:pStyle w:val="Normal"/>
                                    <w:widowControl w:val="false"/>
                                    <w:rPr>
                                      <w:sz w:val="22"/>
                                    </w:rPr>
                                  </w:pPr>
                                  <w:r>
                                    <w:rPr>
                                      <w:sz w:val="22"/>
                                    </w:rPr>
                                    <w:t>E-mail:  jimwoods@intecap.com</w:t>
                                  </w:r>
                                </w:p>
                                <w:p>
                                  <w:pPr>
                                    <w:pStyle w:val="Normal"/>
                                    <w:widowControl w:val="false"/>
                                    <w:jc w:val="both"/>
                                    <w:rPr>
                                      <w:sz w:val="22"/>
                                    </w:rPr>
                                  </w:pPr>
                                  <w:r>
                                    <w:rPr>
                                      <w:sz w:val="22"/>
                                    </w:rPr>
                                  </w:r>
                                </w:p>
                              </w:tc>
                            </w:tr>
                            <w:tr>
                              <w:trPr/>
                              <w:tc>
                                <w:tcPr>
                                  <w:tcW w:w="2300" w:type="dxa"/>
                                  <w:tcBorders/>
                                </w:tcPr>
                                <w:p>
                                  <w:pPr>
                                    <w:pStyle w:val="Normal"/>
                                    <w:widowControl w:val="false"/>
                                    <w:snapToGrid w:val="false"/>
                                    <w:jc w:val="both"/>
                                    <w:rPr>
                                      <w:b/>
                                      <w:sz w:val="22"/>
                                    </w:rPr>
                                  </w:pPr>
                                  <w:r>
                                    <w:rPr>
                                      <w:b/>
                                      <w:sz w:val="22"/>
                                    </w:rPr>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snapToGrid w:val="false"/>
                                    <w:jc w:val="both"/>
                                    <w:rPr>
                                      <w:sz w:val="22"/>
                                    </w:rPr>
                                  </w:pPr>
                                  <w:r>
                                    <w:rPr>
                                      <w:sz w:val="22"/>
                                    </w:rPr>
                                  </w:r>
                                </w:p>
                              </w:tc>
                            </w:tr>
                            <w:tr>
                              <w:trPr/>
                              <w:tc>
                                <w:tcPr>
                                  <w:tcW w:w="2300" w:type="dxa"/>
                                  <w:tcBorders/>
                                </w:tcPr>
                                <w:p>
                                  <w:pPr>
                                    <w:pStyle w:val="Normal"/>
                                    <w:widowControl w:val="false"/>
                                    <w:jc w:val="both"/>
                                    <w:rPr>
                                      <w:sz w:val="22"/>
                                    </w:rPr>
                                  </w:pPr>
                                  <w:r>
                                    <w:rPr>
                                      <w:b/>
                                      <w:sz w:val="22"/>
                                    </w:rPr>
                                    <w:t>Education</w:t>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spacing w:before="0" w:after="60"/>
                                    <w:rPr>
                                      <w:sz w:val="22"/>
                                    </w:rPr>
                                  </w:pPr>
                                  <w:r>
                                    <w:rPr>
                                      <w:sz w:val="22"/>
                                    </w:rPr>
                                    <w:t>Ph.D., Finance, Texas A&amp;M University, College Station, Texas</w:t>
                                    <w:br/>
                                    <w:tab/>
                                    <w:t>Fields: Corporate Finance, Investments, and International Finance</w:t>
                                  </w:r>
                                </w:p>
                                <w:p>
                                  <w:pPr>
                                    <w:pStyle w:val="Normal"/>
                                    <w:widowControl w:val="false"/>
                                    <w:spacing w:before="0" w:after="60"/>
                                    <w:rPr>
                                      <w:sz w:val="22"/>
                                    </w:rPr>
                                  </w:pPr>
                                  <w:r>
                                    <w:rPr>
                                      <w:sz w:val="22"/>
                                    </w:rPr>
                                    <w:t>MBA, University of Missouri, St. Louis, Missouri</w:t>
                                  </w:r>
                                </w:p>
                                <w:p>
                                  <w:pPr>
                                    <w:pStyle w:val="Normal"/>
                                    <w:widowControl w:val="false"/>
                                    <w:spacing w:before="0" w:after="60"/>
                                    <w:rPr>
                                      <w:sz w:val="22"/>
                                    </w:rPr>
                                  </w:pPr>
                                  <w:r>
                                    <w:rPr>
                                      <w:sz w:val="22"/>
                                    </w:rPr>
                                    <w:t>BSBA, Finance and Banking, University of Missouri, Columbia, Missouri</w:t>
                                  </w:r>
                                </w:p>
                                <w:p>
                                  <w:pPr>
                                    <w:pStyle w:val="Normal"/>
                                    <w:widowControl w:val="false"/>
                                    <w:jc w:val="both"/>
                                    <w:rPr>
                                      <w:sz w:val="22"/>
                                    </w:rPr>
                                  </w:pPr>
                                  <w:r>
                                    <w:rPr>
                                      <w:sz w:val="22"/>
                                    </w:rPr>
                                  </w:r>
                                </w:p>
                              </w:tc>
                            </w:tr>
                            <w:tr>
                              <w:trPr/>
                              <w:tc>
                                <w:tcPr>
                                  <w:tcW w:w="2300" w:type="dxa"/>
                                  <w:tcBorders/>
                                </w:tcPr>
                                <w:p>
                                  <w:pPr>
                                    <w:pStyle w:val="Normal"/>
                                    <w:widowControl w:val="false"/>
                                    <w:snapToGrid w:val="false"/>
                                    <w:jc w:val="both"/>
                                    <w:rPr>
                                      <w:b/>
                                      <w:sz w:val="22"/>
                                    </w:rPr>
                                  </w:pPr>
                                  <w:r>
                                    <w:rPr>
                                      <w:b/>
                                      <w:sz w:val="22"/>
                                    </w:rPr>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snapToGrid w:val="false"/>
                                    <w:jc w:val="both"/>
                                    <w:rPr>
                                      <w:sz w:val="22"/>
                                    </w:rPr>
                                  </w:pPr>
                                  <w:r>
                                    <w:rPr>
                                      <w:sz w:val="22"/>
                                    </w:rPr>
                                  </w:r>
                                </w:p>
                              </w:tc>
                            </w:tr>
                            <w:tr>
                              <w:trPr/>
                              <w:tc>
                                <w:tcPr>
                                  <w:tcW w:w="2300" w:type="dxa"/>
                                  <w:tcBorders/>
                                </w:tcPr>
                                <w:p>
                                  <w:pPr>
                                    <w:pStyle w:val="Normal"/>
                                    <w:widowControl w:val="false"/>
                                    <w:jc w:val="both"/>
                                    <w:rPr>
                                      <w:b/>
                                      <w:sz w:val="22"/>
                                    </w:rPr>
                                  </w:pPr>
                                  <w:r>
                                    <w:rPr>
                                      <w:b/>
                                      <w:sz w:val="22"/>
                                    </w:rPr>
                                    <w:t>Professional</w:t>
                                  </w:r>
                                </w:p>
                                <w:p>
                                  <w:pPr>
                                    <w:pStyle w:val="Normal"/>
                                    <w:widowControl w:val="false"/>
                                    <w:jc w:val="both"/>
                                    <w:rPr>
                                      <w:b/>
                                      <w:sz w:val="22"/>
                                    </w:rPr>
                                  </w:pPr>
                                  <w:r>
                                    <w:rPr>
                                      <w:b/>
                                      <w:sz w:val="22"/>
                                    </w:rPr>
                                    <w:t>Associations</w:t>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jc w:val="both"/>
                                    <w:rPr>
                                      <w:sz w:val="22"/>
                                    </w:rPr>
                                  </w:pPr>
                                  <w:r>
                                    <w:rPr>
                                      <w:sz w:val="22"/>
                                    </w:rPr>
                                    <w:t>Financial Management Association</w:t>
                                  </w:r>
                                </w:p>
                                <w:p>
                                  <w:pPr>
                                    <w:pStyle w:val="Normal"/>
                                    <w:widowControl w:val="false"/>
                                    <w:jc w:val="both"/>
                                    <w:rPr>
                                      <w:sz w:val="22"/>
                                    </w:rPr>
                                  </w:pPr>
                                  <w:r>
                                    <w:rPr>
                                      <w:sz w:val="22"/>
                                    </w:rPr>
                                  </w:r>
                                </w:p>
                                <w:p>
                                  <w:pPr>
                                    <w:pStyle w:val="Normal"/>
                                    <w:widowControl w:val="false"/>
                                    <w:jc w:val="both"/>
                                    <w:rPr>
                                      <w:sz w:val="22"/>
                                    </w:rPr>
                                  </w:pPr>
                                  <w:r>
                                    <w:rPr>
                                      <w:sz w:val="22"/>
                                    </w:rPr>
                                    <w:t>American Finance Association</w:t>
                                  </w:r>
                                </w:p>
                                <w:p>
                                  <w:pPr>
                                    <w:pStyle w:val="Normal"/>
                                    <w:widowControl w:val="false"/>
                                    <w:jc w:val="both"/>
                                    <w:rPr>
                                      <w:sz w:val="22"/>
                                    </w:rPr>
                                  </w:pPr>
                                  <w:r>
                                    <w:rPr>
                                      <w:sz w:val="22"/>
                                    </w:rPr>
                                  </w:r>
                                </w:p>
                              </w:tc>
                            </w:tr>
                            <w:tr>
                              <w:trPr/>
                              <w:tc>
                                <w:tcPr>
                                  <w:tcW w:w="2300" w:type="dxa"/>
                                  <w:tcBorders/>
                                </w:tcPr>
                                <w:p>
                                  <w:pPr>
                                    <w:pStyle w:val="Normal"/>
                                    <w:widowControl w:val="false"/>
                                    <w:snapToGrid w:val="false"/>
                                    <w:jc w:val="both"/>
                                    <w:rPr>
                                      <w:b/>
                                      <w:sz w:val="22"/>
                                    </w:rPr>
                                  </w:pPr>
                                  <w:r>
                                    <w:rPr>
                                      <w:b/>
                                      <w:sz w:val="22"/>
                                    </w:rPr>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snapToGrid w:val="false"/>
                                    <w:jc w:val="both"/>
                                    <w:rPr>
                                      <w:sz w:val="22"/>
                                    </w:rPr>
                                  </w:pPr>
                                  <w:r>
                                    <w:rPr>
                                      <w:sz w:val="22"/>
                                    </w:rPr>
                                  </w:r>
                                </w:p>
                              </w:tc>
                            </w:tr>
                            <w:tr>
                              <w:trPr/>
                              <w:tc>
                                <w:tcPr>
                                  <w:tcW w:w="2300" w:type="dxa"/>
                                  <w:tcBorders/>
                                </w:tcPr>
                                <w:p>
                                  <w:pPr>
                                    <w:pStyle w:val="Normal"/>
                                    <w:widowControl w:val="false"/>
                                    <w:jc w:val="both"/>
                                    <w:rPr>
                                      <w:b/>
                                      <w:sz w:val="22"/>
                                    </w:rPr>
                                  </w:pPr>
                                  <w:r>
                                    <w:rPr>
                                      <w:b/>
                                      <w:sz w:val="22"/>
                                    </w:rPr>
                                    <w:t>Professional</w:t>
                                  </w:r>
                                </w:p>
                                <w:p>
                                  <w:pPr>
                                    <w:pStyle w:val="Normal"/>
                                    <w:widowControl w:val="false"/>
                                    <w:jc w:val="both"/>
                                    <w:rPr>
                                      <w:sz w:val="22"/>
                                    </w:rPr>
                                  </w:pPr>
                                  <w:r>
                                    <w:rPr>
                                      <w:b/>
                                      <w:sz w:val="22"/>
                                    </w:rPr>
                                    <w:t>History</w:t>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rPr>
                                      <w:sz w:val="22"/>
                                    </w:rPr>
                                  </w:pPr>
                                  <w:r>
                                    <w:rPr>
                                      <w:sz w:val="22"/>
                                    </w:rPr>
                                    <w:t>PricewaterhouseCoopers, LLP</w:t>
                                  </w:r>
                                </w:p>
                                <w:p>
                                  <w:pPr>
                                    <w:pStyle w:val="Normal"/>
                                    <w:widowControl w:val="false"/>
                                    <w:rPr>
                                      <w:sz w:val="22"/>
                                    </w:rPr>
                                  </w:pPr>
                                  <w:r>
                                    <w:rPr>
                                      <w:sz w:val="22"/>
                                    </w:rPr>
                                    <w:t>Principal Consultant</w:t>
                                  </w:r>
                                </w:p>
                                <w:p>
                                  <w:pPr>
                                    <w:pStyle w:val="Normal"/>
                                    <w:widowControl w:val="false"/>
                                    <w:rPr>
                                      <w:sz w:val="22"/>
                                    </w:rPr>
                                  </w:pPr>
                                  <w:r>
                                    <w:rPr>
                                      <w:sz w:val="22"/>
                                    </w:rPr>
                                    <w:t>Financial Advisory Services Group, Southwest Region</w:t>
                                  </w:r>
                                </w:p>
                                <w:p>
                                  <w:pPr>
                                    <w:pStyle w:val="Normal"/>
                                    <w:widowControl w:val="false"/>
                                    <w:jc w:val="both"/>
                                    <w:rPr>
                                      <w:sz w:val="22"/>
                                    </w:rPr>
                                  </w:pPr>
                                  <w:r>
                                    <w:rPr>
                                      <w:sz w:val="22"/>
                                    </w:rPr>
                                    <w:t>1996 to 1999</w:t>
                                  </w:r>
                                </w:p>
                                <w:p>
                                  <w:pPr>
                                    <w:pStyle w:val="Normal"/>
                                    <w:widowControl w:val="false"/>
                                    <w:jc w:val="both"/>
                                    <w:rPr>
                                      <w:sz w:val="22"/>
                                    </w:rPr>
                                  </w:pPr>
                                  <w:r>
                                    <w:rPr>
                                      <w:sz w:val="22"/>
                                    </w:rPr>
                                  </w:r>
                                </w:p>
                                <w:p>
                                  <w:pPr>
                                    <w:pStyle w:val="Normal"/>
                                    <w:widowControl w:val="false"/>
                                    <w:jc w:val="both"/>
                                    <w:rPr>
                                      <w:sz w:val="22"/>
                                    </w:rPr>
                                  </w:pPr>
                                  <w:r>
                                    <w:rPr>
                                      <w:sz w:val="22"/>
                                    </w:rPr>
                                    <w:t>Southwestern Bell Telephone Company, Computer Analyst</w:t>
                                  </w:r>
                                </w:p>
                                <w:p>
                                  <w:pPr>
                                    <w:pStyle w:val="Normal"/>
                                    <w:widowControl w:val="false"/>
                                    <w:jc w:val="both"/>
                                    <w:rPr>
                                      <w:sz w:val="22"/>
                                    </w:rPr>
                                  </w:pPr>
                                  <w:r>
                                    <w:rPr>
                                      <w:sz w:val="22"/>
                                    </w:rPr>
                                    <w:t>1990 to 1991</w:t>
                                  </w:r>
                                </w:p>
                                <w:p>
                                  <w:pPr>
                                    <w:pStyle w:val="Normal"/>
                                    <w:widowControl w:val="false"/>
                                    <w:jc w:val="both"/>
                                    <w:rPr>
                                      <w:sz w:val="22"/>
                                    </w:rPr>
                                  </w:pPr>
                                  <w:r>
                                    <w:rPr>
                                      <w:sz w:val="22"/>
                                    </w:rPr>
                                  </w:r>
                                </w:p>
                                <w:p>
                                  <w:pPr>
                                    <w:pStyle w:val="Normal"/>
                                    <w:widowControl w:val="false"/>
                                    <w:jc w:val="both"/>
                                    <w:rPr>
                                      <w:sz w:val="22"/>
                                    </w:rPr>
                                  </w:pPr>
                                  <w:r>
                                    <w:rPr>
                                      <w:sz w:val="22"/>
                                    </w:rPr>
                                    <w:t>Federal Reserve Bank of St. Louis, St. Louis, Missouri, Assistant Examiner</w:t>
                                  </w:r>
                                </w:p>
                                <w:p>
                                  <w:pPr>
                                    <w:pStyle w:val="Normal"/>
                                    <w:widowControl w:val="false"/>
                                    <w:jc w:val="both"/>
                                    <w:rPr>
                                      <w:sz w:val="22"/>
                                    </w:rPr>
                                  </w:pPr>
                                  <w:r>
                                    <w:rPr>
                                      <w:sz w:val="22"/>
                                    </w:rPr>
                                    <w:t>1986 to 1989</w:t>
                                  </w:r>
                                </w:p>
                                <w:p>
                                  <w:pPr>
                                    <w:pStyle w:val="Normal"/>
                                    <w:widowControl w:val="false"/>
                                    <w:jc w:val="both"/>
                                    <w:rPr>
                                      <w:sz w:val="22"/>
                                    </w:rPr>
                                  </w:pPr>
                                  <w:r>
                                    <w:rPr>
                                      <w:sz w:val="22"/>
                                    </w:rPr>
                                  </w:r>
                                </w:p>
                              </w:tc>
                            </w:tr>
                            <w:tr>
                              <w:trPr/>
                              <w:tc>
                                <w:tcPr>
                                  <w:tcW w:w="2300" w:type="dxa"/>
                                  <w:tcBorders/>
                                </w:tcPr>
                                <w:p>
                                  <w:pPr>
                                    <w:pStyle w:val="Normal"/>
                                    <w:widowControl w:val="false"/>
                                    <w:snapToGrid w:val="false"/>
                                    <w:jc w:val="both"/>
                                    <w:rPr>
                                      <w:sz w:val="22"/>
                                    </w:rPr>
                                  </w:pPr>
                                  <w:r>
                                    <w:rPr>
                                      <w:sz w:val="22"/>
                                    </w:rPr>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snapToGrid w:val="false"/>
                                    <w:spacing w:before="0" w:after="60"/>
                                    <w:jc w:val="both"/>
                                    <w:rPr>
                                      <w:sz w:val="22"/>
                                    </w:rPr>
                                  </w:pPr>
                                  <w:r>
                                    <w:rPr>
                                      <w:sz w:val="22"/>
                                    </w:rPr>
                                  </w:r>
                                </w:p>
                              </w:tc>
                            </w:tr>
                            <w:tr>
                              <w:trPr/>
                              <w:tc>
                                <w:tcPr>
                                  <w:tcW w:w="2300" w:type="dxa"/>
                                  <w:tcBorders/>
                                </w:tcPr>
                                <w:p>
                                  <w:pPr>
                                    <w:pStyle w:val="Heading2"/>
                                    <w:keepNext w:val="false"/>
                                    <w:ind w:hanging="0" w:start="0"/>
                                    <w:rPr>
                                      <w:sz w:val="22"/>
                                    </w:rPr>
                                  </w:pPr>
                                  <w:r>
                                    <w:rPr>
                                      <w:sz w:val="22"/>
                                    </w:rPr>
                                    <w:t>Professional</w:t>
                                  </w:r>
                                </w:p>
                                <w:p>
                                  <w:pPr>
                                    <w:pStyle w:val="Normal"/>
                                    <w:widowControl w:val="false"/>
                                    <w:jc w:val="both"/>
                                    <w:rPr>
                                      <w:sz w:val="22"/>
                                    </w:rPr>
                                  </w:pPr>
                                  <w:r>
                                    <w:rPr>
                                      <w:b/>
                                      <w:sz w:val="22"/>
                                    </w:rPr>
                                    <w:t>Experience</w:t>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spacing w:before="0" w:after="60"/>
                                    <w:jc w:val="both"/>
                                    <w:rPr>
                                      <w:sz w:val="22"/>
                                    </w:rPr>
                                  </w:pPr>
                                  <w:r>
                                    <w:rPr>
                                      <w:sz w:val="22"/>
                                    </w:rPr>
                                    <w:t>Provided written opinions to counsel concerning opposing expert’s damage models in a variety of litigation cases.  Actions have included wrongful death, patent infringement, fraud and contract disputes.  Provided statistical analysis to refute opposing expert’s models and to develop claims in a variety of litigation settings.  Performed business valuations for intellectual property licensing negotiations.</w:t>
                                  </w:r>
                                </w:p>
                                <w:p>
                                  <w:pPr>
                                    <w:pStyle w:val="Normal"/>
                                    <w:widowControl w:val="false"/>
                                    <w:spacing w:before="0" w:after="60"/>
                                    <w:jc w:val="both"/>
                                    <w:rPr>
                                      <w:sz w:val="22"/>
                                    </w:rPr>
                                  </w:pPr>
                                  <w:r>
                                    <w:rPr>
                                      <w:sz w:val="22"/>
                                    </w:rPr>
                                    <w:t xml:space="preserve"> </w:t>
                                  </w:r>
                                </w:p>
                              </w:tc>
                            </w:tr>
                          </w:tbl>
                        </w:txbxContent>
                      </wps:txbx>
                      <wps:bodyPr anchor="t" lIns="0" tIns="0" rIns="0" bIns="0">
                        <a:noAutofit/>
                      </wps:bodyPr>
                    </wps:wsp>
                  </a:graphicData>
                </a:graphic>
              </wp:anchor>
            </w:drawing>
          </mc:Choice>
          <mc:Fallback>
            <w:pict>
              <v:rect fillcolor="#FFFFFF" style="position:absolute;rotation:-0;width:454.5pt;height:534.75pt;mso-wrap-distance-left:9pt;mso-wrap-distance-right:9pt;mso-wrap-distance-top:0pt;mso-wrap-distance-bottom:0pt;margin-top:0.05pt;mso-position-vertical-relative:text;margin-left:0pt;mso-position-horizontal-relative:text">
                <v:fill opacity="0f"/>
                <v:textbox inset="0in,0in,0in,0in">
                  <w:txbxContent>
                    <w:tbl>
                      <w:tblPr>
                        <w:tblW w:w="9090" w:type="dxa"/>
                        <w:jc w:val="start"/>
                        <w:tblInd w:w="0" w:type="dxa"/>
                        <w:tblLayout w:type="fixed"/>
                        <w:tblCellMar>
                          <w:top w:w="0" w:type="dxa"/>
                          <w:start w:w="0" w:type="dxa"/>
                          <w:bottom w:w="0" w:type="dxa"/>
                          <w:end w:w="0" w:type="dxa"/>
                        </w:tblCellMar>
                      </w:tblPr>
                      <w:tblGrid>
                        <w:gridCol w:w="2300"/>
                        <w:gridCol w:w="177"/>
                        <w:gridCol w:w="6613"/>
                      </w:tblGrid>
                      <w:tr>
                        <w:trPr/>
                        <w:tc>
                          <w:tcPr>
                            <w:tcW w:w="2300" w:type="dxa"/>
                            <w:tcBorders/>
                          </w:tcPr>
                          <w:p>
                            <w:pPr>
                              <w:pStyle w:val="Normal"/>
                              <w:widowControl w:val="false"/>
                              <w:jc w:val="both"/>
                              <w:rPr>
                                <w:sz w:val="22"/>
                              </w:rPr>
                            </w:pPr>
                            <w:r>
                              <w:rPr>
                                <w:b/>
                                <w:sz w:val="22"/>
                              </w:rPr>
                              <w:t>Position</w:t>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rPr>
                                <w:sz w:val="22"/>
                              </w:rPr>
                            </w:pPr>
                            <w:r>
                              <w:rPr>
                                <w:sz w:val="22"/>
                              </w:rPr>
                              <w:t>Director</w:t>
                            </w:r>
                          </w:p>
                          <w:p>
                            <w:pPr>
                              <w:pStyle w:val="Normal"/>
                              <w:widowControl w:val="false"/>
                              <w:rPr>
                                <w:sz w:val="22"/>
                              </w:rPr>
                            </w:pPr>
                            <w:r>
                              <w:rPr>
                                <w:sz w:val="22"/>
                              </w:rPr>
                              <w:t>InteCap, Inc.</w:t>
                            </w:r>
                          </w:p>
                          <w:p>
                            <w:pPr>
                              <w:pStyle w:val="Normal"/>
                              <w:widowControl w:val="false"/>
                              <w:rPr>
                                <w:sz w:val="22"/>
                              </w:rPr>
                            </w:pPr>
                            <w:r>
                              <w:rPr>
                                <w:sz w:val="22"/>
                              </w:rPr>
                              <w:t>1415 Louisiana St., Suite 3500</w:t>
                            </w:r>
                          </w:p>
                          <w:p>
                            <w:pPr>
                              <w:pStyle w:val="Normal"/>
                              <w:widowControl w:val="false"/>
                              <w:rPr>
                                <w:sz w:val="22"/>
                              </w:rPr>
                            </w:pPr>
                            <w:r>
                              <w:rPr>
                                <w:sz w:val="22"/>
                              </w:rPr>
                              <w:t>Houston, Texas  77002</w:t>
                            </w:r>
                          </w:p>
                          <w:p>
                            <w:pPr>
                              <w:pStyle w:val="Normal"/>
                              <w:widowControl w:val="false"/>
                              <w:rPr>
                                <w:sz w:val="22"/>
                              </w:rPr>
                            </w:pPr>
                            <w:r>
                              <w:rPr>
                                <w:sz w:val="22"/>
                              </w:rPr>
                              <w:t>Direct Dial:  (713) 658-0646</w:t>
                            </w:r>
                          </w:p>
                          <w:p>
                            <w:pPr>
                              <w:pStyle w:val="Normal"/>
                              <w:widowControl w:val="false"/>
                              <w:rPr>
                                <w:sz w:val="22"/>
                              </w:rPr>
                            </w:pPr>
                            <w:r>
                              <w:rPr>
                                <w:sz w:val="22"/>
                              </w:rPr>
                              <w:t xml:space="preserve">Facsimile:    (713) 658-0660 </w:t>
                            </w:r>
                          </w:p>
                          <w:p>
                            <w:pPr>
                              <w:pStyle w:val="Normal"/>
                              <w:widowControl w:val="false"/>
                              <w:rPr>
                                <w:sz w:val="22"/>
                              </w:rPr>
                            </w:pPr>
                            <w:r>
                              <w:rPr>
                                <w:sz w:val="22"/>
                              </w:rPr>
                              <w:t>E-mail:  jimwoods@intecap.com</w:t>
                            </w:r>
                          </w:p>
                          <w:p>
                            <w:pPr>
                              <w:pStyle w:val="Normal"/>
                              <w:widowControl w:val="false"/>
                              <w:jc w:val="both"/>
                              <w:rPr>
                                <w:sz w:val="22"/>
                              </w:rPr>
                            </w:pPr>
                            <w:r>
                              <w:rPr>
                                <w:sz w:val="22"/>
                              </w:rPr>
                            </w:r>
                          </w:p>
                        </w:tc>
                      </w:tr>
                      <w:tr>
                        <w:trPr/>
                        <w:tc>
                          <w:tcPr>
                            <w:tcW w:w="2300" w:type="dxa"/>
                            <w:tcBorders/>
                          </w:tcPr>
                          <w:p>
                            <w:pPr>
                              <w:pStyle w:val="Normal"/>
                              <w:widowControl w:val="false"/>
                              <w:snapToGrid w:val="false"/>
                              <w:jc w:val="both"/>
                              <w:rPr>
                                <w:b/>
                                <w:sz w:val="22"/>
                              </w:rPr>
                            </w:pPr>
                            <w:r>
                              <w:rPr>
                                <w:b/>
                                <w:sz w:val="22"/>
                              </w:rPr>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snapToGrid w:val="false"/>
                              <w:jc w:val="both"/>
                              <w:rPr>
                                <w:sz w:val="22"/>
                              </w:rPr>
                            </w:pPr>
                            <w:r>
                              <w:rPr>
                                <w:sz w:val="22"/>
                              </w:rPr>
                            </w:r>
                          </w:p>
                        </w:tc>
                      </w:tr>
                      <w:tr>
                        <w:trPr/>
                        <w:tc>
                          <w:tcPr>
                            <w:tcW w:w="2300" w:type="dxa"/>
                            <w:tcBorders/>
                          </w:tcPr>
                          <w:p>
                            <w:pPr>
                              <w:pStyle w:val="Normal"/>
                              <w:widowControl w:val="false"/>
                              <w:jc w:val="both"/>
                              <w:rPr>
                                <w:sz w:val="22"/>
                              </w:rPr>
                            </w:pPr>
                            <w:r>
                              <w:rPr>
                                <w:b/>
                                <w:sz w:val="22"/>
                              </w:rPr>
                              <w:t>Education</w:t>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spacing w:before="0" w:after="60"/>
                              <w:rPr>
                                <w:sz w:val="22"/>
                              </w:rPr>
                            </w:pPr>
                            <w:r>
                              <w:rPr>
                                <w:sz w:val="22"/>
                              </w:rPr>
                              <w:t>Ph.D., Finance, Texas A&amp;M University, College Station, Texas</w:t>
                              <w:br/>
                              <w:tab/>
                              <w:t>Fields: Corporate Finance, Investments, and International Finance</w:t>
                            </w:r>
                          </w:p>
                          <w:p>
                            <w:pPr>
                              <w:pStyle w:val="Normal"/>
                              <w:widowControl w:val="false"/>
                              <w:spacing w:before="0" w:after="60"/>
                              <w:rPr>
                                <w:sz w:val="22"/>
                              </w:rPr>
                            </w:pPr>
                            <w:r>
                              <w:rPr>
                                <w:sz w:val="22"/>
                              </w:rPr>
                              <w:t>MBA, University of Missouri, St. Louis, Missouri</w:t>
                            </w:r>
                          </w:p>
                          <w:p>
                            <w:pPr>
                              <w:pStyle w:val="Normal"/>
                              <w:widowControl w:val="false"/>
                              <w:spacing w:before="0" w:after="60"/>
                              <w:rPr>
                                <w:sz w:val="22"/>
                              </w:rPr>
                            </w:pPr>
                            <w:r>
                              <w:rPr>
                                <w:sz w:val="22"/>
                              </w:rPr>
                              <w:t>BSBA, Finance and Banking, University of Missouri, Columbia, Missouri</w:t>
                            </w:r>
                          </w:p>
                          <w:p>
                            <w:pPr>
                              <w:pStyle w:val="Normal"/>
                              <w:widowControl w:val="false"/>
                              <w:jc w:val="both"/>
                              <w:rPr>
                                <w:sz w:val="22"/>
                              </w:rPr>
                            </w:pPr>
                            <w:r>
                              <w:rPr>
                                <w:sz w:val="22"/>
                              </w:rPr>
                            </w:r>
                          </w:p>
                        </w:tc>
                      </w:tr>
                      <w:tr>
                        <w:trPr/>
                        <w:tc>
                          <w:tcPr>
                            <w:tcW w:w="2300" w:type="dxa"/>
                            <w:tcBorders/>
                          </w:tcPr>
                          <w:p>
                            <w:pPr>
                              <w:pStyle w:val="Normal"/>
                              <w:widowControl w:val="false"/>
                              <w:snapToGrid w:val="false"/>
                              <w:jc w:val="both"/>
                              <w:rPr>
                                <w:b/>
                                <w:sz w:val="22"/>
                              </w:rPr>
                            </w:pPr>
                            <w:r>
                              <w:rPr>
                                <w:b/>
                                <w:sz w:val="22"/>
                              </w:rPr>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snapToGrid w:val="false"/>
                              <w:jc w:val="both"/>
                              <w:rPr>
                                <w:sz w:val="22"/>
                              </w:rPr>
                            </w:pPr>
                            <w:r>
                              <w:rPr>
                                <w:sz w:val="22"/>
                              </w:rPr>
                            </w:r>
                          </w:p>
                        </w:tc>
                      </w:tr>
                      <w:tr>
                        <w:trPr/>
                        <w:tc>
                          <w:tcPr>
                            <w:tcW w:w="2300" w:type="dxa"/>
                            <w:tcBorders/>
                          </w:tcPr>
                          <w:p>
                            <w:pPr>
                              <w:pStyle w:val="Normal"/>
                              <w:widowControl w:val="false"/>
                              <w:jc w:val="both"/>
                              <w:rPr>
                                <w:b/>
                                <w:sz w:val="22"/>
                              </w:rPr>
                            </w:pPr>
                            <w:r>
                              <w:rPr>
                                <w:b/>
                                <w:sz w:val="22"/>
                              </w:rPr>
                              <w:t>Professional</w:t>
                            </w:r>
                          </w:p>
                          <w:p>
                            <w:pPr>
                              <w:pStyle w:val="Normal"/>
                              <w:widowControl w:val="false"/>
                              <w:jc w:val="both"/>
                              <w:rPr>
                                <w:b/>
                                <w:sz w:val="22"/>
                              </w:rPr>
                            </w:pPr>
                            <w:r>
                              <w:rPr>
                                <w:b/>
                                <w:sz w:val="22"/>
                              </w:rPr>
                              <w:t>Associations</w:t>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jc w:val="both"/>
                              <w:rPr>
                                <w:sz w:val="22"/>
                              </w:rPr>
                            </w:pPr>
                            <w:r>
                              <w:rPr>
                                <w:sz w:val="22"/>
                              </w:rPr>
                              <w:t>Financial Management Association</w:t>
                            </w:r>
                          </w:p>
                          <w:p>
                            <w:pPr>
                              <w:pStyle w:val="Normal"/>
                              <w:widowControl w:val="false"/>
                              <w:jc w:val="both"/>
                              <w:rPr>
                                <w:sz w:val="22"/>
                              </w:rPr>
                            </w:pPr>
                            <w:r>
                              <w:rPr>
                                <w:sz w:val="22"/>
                              </w:rPr>
                            </w:r>
                          </w:p>
                          <w:p>
                            <w:pPr>
                              <w:pStyle w:val="Normal"/>
                              <w:widowControl w:val="false"/>
                              <w:jc w:val="both"/>
                              <w:rPr>
                                <w:sz w:val="22"/>
                              </w:rPr>
                            </w:pPr>
                            <w:r>
                              <w:rPr>
                                <w:sz w:val="22"/>
                              </w:rPr>
                              <w:t>American Finance Association</w:t>
                            </w:r>
                          </w:p>
                          <w:p>
                            <w:pPr>
                              <w:pStyle w:val="Normal"/>
                              <w:widowControl w:val="false"/>
                              <w:jc w:val="both"/>
                              <w:rPr>
                                <w:sz w:val="22"/>
                              </w:rPr>
                            </w:pPr>
                            <w:r>
                              <w:rPr>
                                <w:sz w:val="22"/>
                              </w:rPr>
                            </w:r>
                          </w:p>
                        </w:tc>
                      </w:tr>
                      <w:tr>
                        <w:trPr/>
                        <w:tc>
                          <w:tcPr>
                            <w:tcW w:w="2300" w:type="dxa"/>
                            <w:tcBorders/>
                          </w:tcPr>
                          <w:p>
                            <w:pPr>
                              <w:pStyle w:val="Normal"/>
                              <w:widowControl w:val="false"/>
                              <w:snapToGrid w:val="false"/>
                              <w:jc w:val="both"/>
                              <w:rPr>
                                <w:b/>
                                <w:sz w:val="22"/>
                              </w:rPr>
                            </w:pPr>
                            <w:r>
                              <w:rPr>
                                <w:b/>
                                <w:sz w:val="22"/>
                              </w:rPr>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snapToGrid w:val="false"/>
                              <w:jc w:val="both"/>
                              <w:rPr>
                                <w:sz w:val="22"/>
                              </w:rPr>
                            </w:pPr>
                            <w:r>
                              <w:rPr>
                                <w:sz w:val="22"/>
                              </w:rPr>
                            </w:r>
                          </w:p>
                        </w:tc>
                      </w:tr>
                      <w:tr>
                        <w:trPr/>
                        <w:tc>
                          <w:tcPr>
                            <w:tcW w:w="2300" w:type="dxa"/>
                            <w:tcBorders/>
                          </w:tcPr>
                          <w:p>
                            <w:pPr>
                              <w:pStyle w:val="Normal"/>
                              <w:widowControl w:val="false"/>
                              <w:jc w:val="both"/>
                              <w:rPr>
                                <w:b/>
                                <w:sz w:val="22"/>
                              </w:rPr>
                            </w:pPr>
                            <w:r>
                              <w:rPr>
                                <w:b/>
                                <w:sz w:val="22"/>
                              </w:rPr>
                              <w:t>Professional</w:t>
                            </w:r>
                          </w:p>
                          <w:p>
                            <w:pPr>
                              <w:pStyle w:val="Normal"/>
                              <w:widowControl w:val="false"/>
                              <w:jc w:val="both"/>
                              <w:rPr>
                                <w:sz w:val="22"/>
                              </w:rPr>
                            </w:pPr>
                            <w:r>
                              <w:rPr>
                                <w:b/>
                                <w:sz w:val="22"/>
                              </w:rPr>
                              <w:t>History</w:t>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rPr>
                                <w:sz w:val="22"/>
                              </w:rPr>
                            </w:pPr>
                            <w:r>
                              <w:rPr>
                                <w:sz w:val="22"/>
                              </w:rPr>
                              <w:t>PricewaterhouseCoopers, LLP</w:t>
                            </w:r>
                          </w:p>
                          <w:p>
                            <w:pPr>
                              <w:pStyle w:val="Normal"/>
                              <w:widowControl w:val="false"/>
                              <w:rPr>
                                <w:sz w:val="22"/>
                              </w:rPr>
                            </w:pPr>
                            <w:r>
                              <w:rPr>
                                <w:sz w:val="22"/>
                              </w:rPr>
                              <w:t>Principal Consultant</w:t>
                            </w:r>
                          </w:p>
                          <w:p>
                            <w:pPr>
                              <w:pStyle w:val="Normal"/>
                              <w:widowControl w:val="false"/>
                              <w:rPr>
                                <w:sz w:val="22"/>
                              </w:rPr>
                            </w:pPr>
                            <w:r>
                              <w:rPr>
                                <w:sz w:val="22"/>
                              </w:rPr>
                              <w:t>Financial Advisory Services Group, Southwest Region</w:t>
                            </w:r>
                          </w:p>
                          <w:p>
                            <w:pPr>
                              <w:pStyle w:val="Normal"/>
                              <w:widowControl w:val="false"/>
                              <w:jc w:val="both"/>
                              <w:rPr>
                                <w:sz w:val="22"/>
                              </w:rPr>
                            </w:pPr>
                            <w:r>
                              <w:rPr>
                                <w:sz w:val="22"/>
                              </w:rPr>
                              <w:t>1996 to 1999</w:t>
                            </w:r>
                          </w:p>
                          <w:p>
                            <w:pPr>
                              <w:pStyle w:val="Normal"/>
                              <w:widowControl w:val="false"/>
                              <w:jc w:val="both"/>
                              <w:rPr>
                                <w:sz w:val="22"/>
                              </w:rPr>
                            </w:pPr>
                            <w:r>
                              <w:rPr>
                                <w:sz w:val="22"/>
                              </w:rPr>
                            </w:r>
                          </w:p>
                          <w:p>
                            <w:pPr>
                              <w:pStyle w:val="Normal"/>
                              <w:widowControl w:val="false"/>
                              <w:jc w:val="both"/>
                              <w:rPr>
                                <w:sz w:val="22"/>
                              </w:rPr>
                            </w:pPr>
                            <w:r>
                              <w:rPr>
                                <w:sz w:val="22"/>
                              </w:rPr>
                              <w:t>Southwestern Bell Telephone Company, Computer Analyst</w:t>
                            </w:r>
                          </w:p>
                          <w:p>
                            <w:pPr>
                              <w:pStyle w:val="Normal"/>
                              <w:widowControl w:val="false"/>
                              <w:jc w:val="both"/>
                              <w:rPr>
                                <w:sz w:val="22"/>
                              </w:rPr>
                            </w:pPr>
                            <w:r>
                              <w:rPr>
                                <w:sz w:val="22"/>
                              </w:rPr>
                              <w:t>1990 to 1991</w:t>
                            </w:r>
                          </w:p>
                          <w:p>
                            <w:pPr>
                              <w:pStyle w:val="Normal"/>
                              <w:widowControl w:val="false"/>
                              <w:jc w:val="both"/>
                              <w:rPr>
                                <w:sz w:val="22"/>
                              </w:rPr>
                            </w:pPr>
                            <w:r>
                              <w:rPr>
                                <w:sz w:val="22"/>
                              </w:rPr>
                            </w:r>
                          </w:p>
                          <w:p>
                            <w:pPr>
                              <w:pStyle w:val="Normal"/>
                              <w:widowControl w:val="false"/>
                              <w:jc w:val="both"/>
                              <w:rPr>
                                <w:sz w:val="22"/>
                              </w:rPr>
                            </w:pPr>
                            <w:r>
                              <w:rPr>
                                <w:sz w:val="22"/>
                              </w:rPr>
                              <w:t>Federal Reserve Bank of St. Louis, St. Louis, Missouri, Assistant Examiner</w:t>
                            </w:r>
                          </w:p>
                          <w:p>
                            <w:pPr>
                              <w:pStyle w:val="Normal"/>
                              <w:widowControl w:val="false"/>
                              <w:jc w:val="both"/>
                              <w:rPr>
                                <w:sz w:val="22"/>
                              </w:rPr>
                            </w:pPr>
                            <w:r>
                              <w:rPr>
                                <w:sz w:val="22"/>
                              </w:rPr>
                              <w:t>1986 to 1989</w:t>
                            </w:r>
                          </w:p>
                          <w:p>
                            <w:pPr>
                              <w:pStyle w:val="Normal"/>
                              <w:widowControl w:val="false"/>
                              <w:jc w:val="both"/>
                              <w:rPr>
                                <w:sz w:val="22"/>
                              </w:rPr>
                            </w:pPr>
                            <w:r>
                              <w:rPr>
                                <w:sz w:val="22"/>
                              </w:rPr>
                            </w:r>
                          </w:p>
                        </w:tc>
                      </w:tr>
                      <w:tr>
                        <w:trPr/>
                        <w:tc>
                          <w:tcPr>
                            <w:tcW w:w="2300" w:type="dxa"/>
                            <w:tcBorders/>
                          </w:tcPr>
                          <w:p>
                            <w:pPr>
                              <w:pStyle w:val="Normal"/>
                              <w:widowControl w:val="false"/>
                              <w:snapToGrid w:val="false"/>
                              <w:jc w:val="both"/>
                              <w:rPr>
                                <w:sz w:val="22"/>
                              </w:rPr>
                            </w:pPr>
                            <w:r>
                              <w:rPr>
                                <w:sz w:val="22"/>
                              </w:rPr>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snapToGrid w:val="false"/>
                              <w:spacing w:before="0" w:after="60"/>
                              <w:jc w:val="both"/>
                              <w:rPr>
                                <w:sz w:val="22"/>
                              </w:rPr>
                            </w:pPr>
                            <w:r>
                              <w:rPr>
                                <w:sz w:val="22"/>
                              </w:rPr>
                            </w:r>
                          </w:p>
                        </w:tc>
                      </w:tr>
                      <w:tr>
                        <w:trPr/>
                        <w:tc>
                          <w:tcPr>
                            <w:tcW w:w="2300" w:type="dxa"/>
                            <w:tcBorders/>
                          </w:tcPr>
                          <w:p>
                            <w:pPr>
                              <w:pStyle w:val="Heading2"/>
                              <w:keepNext w:val="false"/>
                              <w:ind w:hanging="0" w:start="0"/>
                              <w:rPr>
                                <w:sz w:val="22"/>
                              </w:rPr>
                            </w:pPr>
                            <w:r>
                              <w:rPr>
                                <w:sz w:val="22"/>
                              </w:rPr>
                              <w:t>Professional</w:t>
                            </w:r>
                          </w:p>
                          <w:p>
                            <w:pPr>
                              <w:pStyle w:val="Normal"/>
                              <w:widowControl w:val="false"/>
                              <w:jc w:val="both"/>
                              <w:rPr>
                                <w:sz w:val="22"/>
                              </w:rPr>
                            </w:pPr>
                            <w:r>
                              <w:rPr>
                                <w:b/>
                                <w:sz w:val="22"/>
                              </w:rPr>
                              <w:t>Experience</w:t>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spacing w:before="0" w:after="60"/>
                              <w:jc w:val="both"/>
                              <w:rPr>
                                <w:sz w:val="22"/>
                              </w:rPr>
                            </w:pPr>
                            <w:r>
                              <w:rPr>
                                <w:sz w:val="22"/>
                              </w:rPr>
                              <w:t>Provided written opinions to counsel concerning opposing expert’s damage models in a variety of litigation cases.  Actions have included wrongful death, patent infringement, fraud and contract disputes.  Provided statistical analysis to refute opposing expert’s models and to develop claims in a variety of litigation settings.  Performed business valuations for intellectual property licensing negotiations.</w:t>
                            </w:r>
                          </w:p>
                          <w:p>
                            <w:pPr>
                              <w:pStyle w:val="Normal"/>
                              <w:widowControl w:val="false"/>
                              <w:spacing w:before="0" w:after="60"/>
                              <w:jc w:val="both"/>
                              <w:rPr>
                                <w:sz w:val="22"/>
                              </w:rPr>
                            </w:pPr>
                            <w:r>
                              <w:rPr>
                                <w:sz w:val="22"/>
                              </w:rPr>
                              <w:t xml:space="preserve"> </w:t>
                            </w:r>
                          </w:p>
                        </w:tc>
                      </w:tr>
                    </w:tbl>
                  </w:txbxContent>
                </v:textbox>
                <w10:wrap type="square"/>
              </v:rect>
            </w:pict>
          </mc:Fallback>
        </mc:AlternateContent>
      </w:r>
    </w:p>
    <w:p>
      <w:pPr>
        <w:pStyle w:val="Normal"/>
        <w:rPr/>
      </w:pPr>
      <w:r>
        <w:rPr/>
        <w:br/>
      </w:r>
    </w:p>
    <w:tbl>
      <w:tblPr>
        <w:tblW w:w="9180" w:type="dxa"/>
        <w:jc w:val="start"/>
        <w:tblInd w:w="-90" w:type="dxa"/>
        <w:tblLayout w:type="fixed"/>
        <w:tblCellMar>
          <w:top w:w="0" w:type="dxa"/>
          <w:start w:w="0" w:type="dxa"/>
          <w:bottom w:w="0" w:type="dxa"/>
          <w:end w:w="0" w:type="dxa"/>
        </w:tblCellMar>
      </w:tblPr>
      <w:tblGrid>
        <w:gridCol w:w="2390"/>
        <w:gridCol w:w="177"/>
        <w:gridCol w:w="6613"/>
      </w:tblGrid>
      <w:tr>
        <w:trPr/>
        <w:tc>
          <w:tcPr>
            <w:tcW w:w="2390" w:type="dxa"/>
            <w:tcBorders/>
          </w:tcPr>
          <w:p>
            <w:pPr>
              <w:pStyle w:val="Normal"/>
              <w:widowControl w:val="false"/>
              <w:jc w:val="both"/>
              <w:rPr>
                <w:b/>
                <w:sz w:val="22"/>
              </w:rPr>
            </w:pPr>
            <w:r>
              <w:rPr>
                <w:b/>
                <w:sz w:val="22"/>
              </w:rPr>
              <w:t>Professional</w:t>
            </w:r>
          </w:p>
          <w:p>
            <w:pPr>
              <w:pStyle w:val="Normal"/>
              <w:widowControl w:val="false"/>
              <w:jc w:val="both"/>
              <w:rPr>
                <w:b/>
                <w:sz w:val="22"/>
              </w:rPr>
            </w:pPr>
            <w:r>
              <w:rPr>
                <w:b/>
                <w:sz w:val="22"/>
              </w:rPr>
              <w:t>Experience</w:t>
            </w:r>
          </w:p>
          <w:p>
            <w:pPr>
              <w:pStyle w:val="Normal"/>
              <w:widowControl w:val="false"/>
              <w:jc w:val="both"/>
              <w:rPr>
                <w:sz w:val="22"/>
              </w:rPr>
            </w:pPr>
            <w:r>
              <w:rPr>
                <w:b/>
                <w:sz w:val="22"/>
              </w:rPr>
              <w:t>(Continued)</w:t>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snapToGrid w:val="false"/>
              <w:jc w:val="both"/>
              <w:rPr>
                <w:sz w:val="22"/>
                <w:u w:val="single"/>
              </w:rPr>
            </w:pPr>
            <w:r>
              <w:rPr>
                <w:sz w:val="22"/>
                <w:u w:val="single"/>
              </w:rPr>
            </w:r>
          </w:p>
          <w:p>
            <w:pPr>
              <w:pStyle w:val="Normal"/>
              <w:widowControl w:val="false"/>
              <w:jc w:val="both"/>
              <w:rPr>
                <w:sz w:val="22"/>
                <w:u w:val="single"/>
              </w:rPr>
            </w:pPr>
            <w:r>
              <w:rPr>
                <w:sz w:val="22"/>
                <w:u w:val="single"/>
              </w:rPr>
              <w:t>Intellectual Property</w:t>
            </w:r>
          </w:p>
          <w:p>
            <w:pPr>
              <w:pStyle w:val="Normal"/>
              <w:widowControl w:val="false"/>
              <w:jc w:val="both"/>
              <w:rPr>
                <w:sz w:val="22"/>
                <w:u w:val="single"/>
              </w:rPr>
            </w:pPr>
            <w:r>
              <w:rPr>
                <w:sz w:val="22"/>
                <w:u w:val="single"/>
              </w:rPr>
            </w:r>
          </w:p>
          <w:p>
            <w:pPr>
              <w:pStyle w:val="BodyText"/>
              <w:rPr/>
            </w:pPr>
            <w:r>
              <w:rPr/>
              <w:t>Extensive experience in valuing, managing and protecting intellectual property including patents, trademarks and trade secrets.</w:t>
            </w:r>
          </w:p>
          <w:p>
            <w:pPr>
              <w:pStyle w:val="Normal"/>
              <w:widowControl w:val="false"/>
              <w:jc w:val="both"/>
              <w:rPr>
                <w:sz w:val="22"/>
              </w:rPr>
            </w:pPr>
            <w:r>
              <w:rPr>
                <w:sz w:val="22"/>
              </w:rPr>
            </w:r>
          </w:p>
          <w:p>
            <w:pPr>
              <w:pStyle w:val="Normal"/>
              <w:widowControl w:val="false"/>
              <w:jc w:val="both"/>
              <w:rPr>
                <w:sz w:val="22"/>
              </w:rPr>
            </w:pPr>
            <w:r>
              <w:rPr>
                <w:sz w:val="22"/>
              </w:rPr>
              <w:t xml:space="preserve">Developed reasonable royalty and lost profit calculations for intellectual property related to the telecommunication, semi-conductor, construction and entertainment industries.  </w:t>
            </w:r>
          </w:p>
          <w:p>
            <w:pPr>
              <w:pStyle w:val="Normal"/>
              <w:widowControl w:val="false"/>
              <w:jc w:val="both"/>
              <w:rPr>
                <w:sz w:val="22"/>
              </w:rPr>
            </w:pPr>
            <w:r>
              <w:rPr>
                <w:sz w:val="22"/>
              </w:rPr>
            </w:r>
          </w:p>
          <w:p>
            <w:pPr>
              <w:pStyle w:val="Normal"/>
              <w:widowControl w:val="false"/>
              <w:jc w:val="both"/>
              <w:rPr>
                <w:sz w:val="22"/>
              </w:rPr>
            </w:pPr>
            <w:r>
              <w:rPr>
                <w:sz w:val="22"/>
              </w:rPr>
              <w:t>Valued technology contributed by two multi-national corporations to commercialize in-house data management skills.  Valued trademarks of a regional confectionery.</w:t>
            </w:r>
          </w:p>
          <w:p>
            <w:pPr>
              <w:pStyle w:val="Normal"/>
              <w:widowControl w:val="false"/>
              <w:jc w:val="both"/>
              <w:rPr>
                <w:sz w:val="22"/>
              </w:rPr>
            </w:pPr>
            <w:r>
              <w:rPr>
                <w:sz w:val="22"/>
              </w:rPr>
            </w:r>
          </w:p>
          <w:p>
            <w:pPr>
              <w:pStyle w:val="Heading4"/>
              <w:ind w:hanging="0" w:start="0"/>
              <w:rPr/>
            </w:pPr>
            <w:r>
              <w:rPr/>
              <w:t>Due Diligence/Business Valuation</w:t>
            </w:r>
          </w:p>
          <w:p>
            <w:pPr>
              <w:pStyle w:val="Heading4"/>
              <w:ind w:hanging="0" w:start="0"/>
              <w:rPr/>
            </w:pPr>
            <w:r>
              <w:rPr/>
            </w:r>
          </w:p>
          <w:p>
            <w:pPr>
              <w:pStyle w:val="Normal"/>
              <w:widowControl w:val="false"/>
              <w:spacing w:before="0" w:after="60"/>
              <w:jc w:val="both"/>
              <w:rPr/>
            </w:pPr>
            <w:r>
              <w:rPr/>
              <w:t>Reviewed valuation reports, documents related to due diligence and stock purchase agreements to develop an opinion of the fairness of the price paid for a travel service company. The case involved several complex issues including the retention of escrow funds relating to accounting and audit irregularities and the effects of accept9ing debt on the purchase price. Also reviewed a stock purchase agreement in connection with estimating the expected expenses and identifying the responsible party related to environmental cleanup costs. Based on documents collected during the due diligence process, developed a complex iterative financial model to estimate the value of a business involved in a failed acquisition.</w:t>
            </w:r>
          </w:p>
          <w:p>
            <w:pPr>
              <w:pStyle w:val="Normal"/>
              <w:rPr/>
            </w:pPr>
            <w:r>
              <w:rPr/>
            </w:r>
          </w:p>
          <w:p>
            <w:pPr>
              <w:pStyle w:val="Heading4"/>
              <w:ind w:hanging="0" w:start="0"/>
              <w:rPr/>
            </w:pPr>
            <w:r>
              <w:rPr/>
              <w:t>Software Industry</w:t>
            </w:r>
          </w:p>
          <w:p>
            <w:pPr>
              <w:pStyle w:val="Normal"/>
              <w:widowControl w:val="false"/>
              <w:jc w:val="both"/>
              <w:rPr>
                <w:sz w:val="22"/>
              </w:rPr>
            </w:pPr>
            <w:r>
              <w:rPr>
                <w:sz w:val="22"/>
              </w:rPr>
            </w:r>
          </w:p>
          <w:p>
            <w:pPr>
              <w:pStyle w:val="Normal"/>
              <w:widowControl w:val="false"/>
              <w:spacing w:before="0" w:after="60"/>
              <w:jc w:val="both"/>
              <w:rPr/>
            </w:pPr>
            <w:r>
              <w:rPr/>
              <w:t>Designed and developed software packages to automate financial analysis and report creation in several  macro and high level computer languages Analyzed, critiqued and audited software algorithms, source code and software design to improve program efficiency. Developed a fully integrated financial modeling program for estimating the value of physician’s office space.. Experienced with BASIC, C, PASCAL, SAS, FORTRAN, Excel and Lotus 123 macros, and Word and Wordperfect macros. Familiar with the PC, Macintosh and VMS/CMS environments. Reviewed software license agreements and financial records to determine damages from payment disputed.</w:t>
            </w:r>
          </w:p>
          <w:p>
            <w:pPr>
              <w:pStyle w:val="Normal"/>
              <w:widowControl w:val="false"/>
              <w:spacing w:before="0" w:after="60"/>
              <w:jc w:val="both"/>
              <w:rPr/>
            </w:pPr>
            <w:r>
              <w:rPr/>
            </w:r>
          </w:p>
          <w:p>
            <w:pPr>
              <w:pStyle w:val="Heading4"/>
              <w:ind w:hanging="0" w:start="0"/>
              <w:rPr/>
            </w:pPr>
            <w:r>
              <w:rPr/>
              <w:t>Wrongful Death</w:t>
            </w:r>
          </w:p>
          <w:p>
            <w:pPr>
              <w:pStyle w:val="Normal"/>
              <w:widowControl w:val="false"/>
              <w:jc w:val="both"/>
              <w:rPr>
                <w:sz w:val="22"/>
                <w:u w:val="single"/>
              </w:rPr>
            </w:pPr>
            <w:r>
              <w:rPr>
                <w:sz w:val="22"/>
                <w:u w:val="single"/>
              </w:rPr>
            </w:r>
          </w:p>
          <w:p>
            <w:pPr>
              <w:pStyle w:val="Normal"/>
              <w:widowControl w:val="false"/>
              <w:jc w:val="both"/>
              <w:rPr>
                <w:sz w:val="22"/>
              </w:rPr>
            </w:pPr>
            <w:r>
              <w:rPr>
                <w:sz w:val="22"/>
              </w:rPr>
              <w:t>Assisted several clients in evaluating lost wages and benefits and loss of value to the decedent’s estate in wrongful death matters.  Work performed included an analysis of industry salary structure, benefit programs, demographic studies, industry norms and review of business plans.</w:t>
            </w:r>
          </w:p>
          <w:p>
            <w:pPr>
              <w:pStyle w:val="Normal"/>
              <w:widowControl w:val="false"/>
              <w:jc w:val="both"/>
              <w:rPr>
                <w:sz w:val="22"/>
                <w:u w:val="single"/>
              </w:rPr>
            </w:pPr>
            <w:r>
              <w:rPr>
                <w:sz w:val="22"/>
                <w:u w:val="single"/>
              </w:rPr>
            </w:r>
          </w:p>
          <w:p>
            <w:pPr>
              <w:pStyle w:val="Normal"/>
              <w:widowControl w:val="false"/>
              <w:jc w:val="both"/>
              <w:rPr>
                <w:sz w:val="22"/>
                <w:u w:val="single"/>
              </w:rPr>
            </w:pPr>
            <w:r>
              <w:rPr>
                <w:sz w:val="22"/>
                <w:u w:val="single"/>
              </w:rPr>
              <w:t>Lost Profits</w:t>
            </w:r>
          </w:p>
          <w:p>
            <w:pPr>
              <w:pStyle w:val="Normal"/>
              <w:widowControl w:val="false"/>
              <w:jc w:val="both"/>
              <w:rPr>
                <w:sz w:val="22"/>
                <w:u w:val="single"/>
              </w:rPr>
            </w:pPr>
            <w:r>
              <w:rPr>
                <w:sz w:val="22"/>
                <w:u w:val="single"/>
              </w:rPr>
            </w:r>
          </w:p>
          <w:p>
            <w:pPr>
              <w:pStyle w:val="BodyText"/>
              <w:rPr/>
            </w:pPr>
            <w:r>
              <w:rPr/>
              <w:t>Performed several lost profits studies involving numerous industries.  Work performed included research of industry and market dynamics and analysis of capacity, market demand and cost structure.</w:t>
            </w:r>
          </w:p>
          <w:p>
            <w:pPr>
              <w:pStyle w:val="Normal"/>
              <w:widowControl w:val="false"/>
              <w:jc w:val="both"/>
              <w:rPr>
                <w:sz w:val="22"/>
              </w:rPr>
            </w:pPr>
            <w:r>
              <w:rPr>
                <w:sz w:val="22"/>
              </w:rPr>
            </w:r>
          </w:p>
          <w:p>
            <w:pPr>
              <w:pStyle w:val="Heading4"/>
              <w:ind w:hanging="0" w:start="0"/>
              <w:rPr/>
            </w:pPr>
            <w:r>
              <w:rPr/>
              <w:t>Contract Disputes</w:t>
            </w:r>
          </w:p>
          <w:p>
            <w:pPr>
              <w:pStyle w:val="Normal"/>
              <w:widowControl w:val="false"/>
              <w:jc w:val="both"/>
              <w:rPr>
                <w:sz w:val="22"/>
              </w:rPr>
            </w:pPr>
            <w:r>
              <w:rPr>
                <w:sz w:val="22"/>
              </w:rPr>
            </w:r>
          </w:p>
          <w:p>
            <w:pPr>
              <w:pStyle w:val="Normal"/>
              <w:widowControl w:val="false"/>
              <w:jc w:val="both"/>
              <w:rPr>
                <w:sz w:val="22"/>
              </w:rPr>
            </w:pPr>
            <w:r>
              <w:rPr>
                <w:sz w:val="22"/>
              </w:rPr>
              <w:t>Used contract language to calculate payout of an employment incentive plan.  Reviewed extensive database of expenditures to ensure contract compliance.</w:t>
            </w:r>
          </w:p>
          <w:p>
            <w:pPr>
              <w:pStyle w:val="Normal"/>
              <w:widowControl w:val="false"/>
              <w:jc w:val="both"/>
              <w:rPr>
                <w:sz w:val="22"/>
              </w:rPr>
            </w:pPr>
            <w:r>
              <w:rPr>
                <w:sz w:val="22"/>
              </w:rPr>
            </w:r>
          </w:p>
          <w:p>
            <w:pPr>
              <w:pStyle w:val="Normal"/>
              <w:widowControl w:val="false"/>
              <w:jc w:val="both"/>
              <w:rPr>
                <w:sz w:val="22"/>
                <w:u w:val="single"/>
              </w:rPr>
            </w:pPr>
            <w:r>
              <w:rPr>
                <w:sz w:val="22"/>
                <w:u w:val="single"/>
              </w:rPr>
              <w:t>Statistical Analysis</w:t>
            </w:r>
          </w:p>
          <w:p>
            <w:pPr>
              <w:pStyle w:val="Normal"/>
              <w:widowControl w:val="false"/>
              <w:jc w:val="both"/>
              <w:rPr>
                <w:sz w:val="22"/>
                <w:u w:val="single"/>
              </w:rPr>
            </w:pPr>
            <w:r>
              <w:rPr>
                <w:sz w:val="22"/>
                <w:u w:val="single"/>
              </w:rPr>
            </w:r>
          </w:p>
          <w:p>
            <w:pPr>
              <w:pStyle w:val="Normal"/>
              <w:widowControl w:val="false"/>
              <w:spacing w:before="0" w:after="60"/>
              <w:jc w:val="both"/>
              <w:rPr>
                <w:sz w:val="22"/>
              </w:rPr>
            </w:pPr>
            <w:r>
              <w:rPr/>
              <w:t>Reviewed regression analyses presented in several settings.  Provided opinions to highlight the applicability of the techniques to the matter at issue.</w:t>
            </w:r>
          </w:p>
        </w:tc>
      </w:tr>
      <w:tr>
        <w:trPr/>
        <w:tc>
          <w:tcPr>
            <w:tcW w:w="2390" w:type="dxa"/>
            <w:tcBorders/>
          </w:tcPr>
          <w:p>
            <w:pPr>
              <w:pStyle w:val="Normal"/>
              <w:widowControl w:val="false"/>
              <w:snapToGrid w:val="false"/>
              <w:jc w:val="both"/>
              <w:rPr>
                <w:b/>
                <w:sz w:val="22"/>
              </w:rPr>
            </w:pPr>
            <w:r>
              <w:rPr>
                <w:b/>
                <w:sz w:val="22"/>
              </w:rPr>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snapToGrid w:val="false"/>
              <w:jc w:val="both"/>
              <w:rPr>
                <w:sz w:val="22"/>
                <w:u w:val="single"/>
              </w:rPr>
            </w:pPr>
            <w:r>
              <w:rPr>
                <w:sz w:val="22"/>
                <w:u w:val="single"/>
              </w:rPr>
            </w:r>
          </w:p>
        </w:tc>
      </w:tr>
    </w:tbl>
    <w:p>
      <w:pPr>
        <w:pStyle w:val="Normal"/>
        <w:rPr/>
      </w:pPr>
      <w:r>
        <w:rPr/>
      </w:r>
    </w:p>
    <w:tbl>
      <w:tblPr>
        <w:tblW w:w="9180" w:type="dxa"/>
        <w:jc w:val="start"/>
        <w:tblInd w:w="-90" w:type="dxa"/>
        <w:tblLayout w:type="fixed"/>
        <w:tblCellMar>
          <w:top w:w="0" w:type="dxa"/>
          <w:start w:w="0" w:type="dxa"/>
          <w:bottom w:w="0" w:type="dxa"/>
          <w:end w:w="0" w:type="dxa"/>
        </w:tblCellMar>
      </w:tblPr>
      <w:tblGrid>
        <w:gridCol w:w="2390"/>
        <w:gridCol w:w="177"/>
        <w:gridCol w:w="6613"/>
      </w:tblGrid>
      <w:tr>
        <w:trPr/>
        <w:tc>
          <w:tcPr>
            <w:tcW w:w="2390" w:type="dxa"/>
            <w:tcBorders/>
          </w:tcPr>
          <w:p>
            <w:pPr>
              <w:pStyle w:val="Normal"/>
              <w:widowControl w:val="false"/>
              <w:jc w:val="both"/>
              <w:rPr>
                <w:b/>
                <w:sz w:val="22"/>
              </w:rPr>
            </w:pPr>
            <w:r>
              <w:rPr>
                <w:b/>
                <w:sz w:val="22"/>
              </w:rPr>
              <w:t>Academic</w:t>
            </w:r>
          </w:p>
          <w:p>
            <w:pPr>
              <w:pStyle w:val="Normal"/>
              <w:widowControl w:val="false"/>
              <w:jc w:val="both"/>
              <w:rPr>
                <w:b/>
                <w:sz w:val="22"/>
              </w:rPr>
            </w:pPr>
            <w:r>
              <w:rPr>
                <w:b/>
                <w:sz w:val="22"/>
              </w:rPr>
              <w:t>Experience</w:t>
            </w:r>
          </w:p>
          <w:p>
            <w:pPr>
              <w:pStyle w:val="Normal"/>
              <w:widowControl w:val="false"/>
              <w:jc w:val="both"/>
              <w:rPr>
                <w:b/>
                <w:sz w:val="22"/>
              </w:rPr>
            </w:pPr>
            <w:r>
              <w:rPr>
                <w:b/>
                <w:sz w:val="22"/>
              </w:rPr>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jc w:val="both"/>
              <w:rPr>
                <w:sz w:val="22"/>
                <w:u w:val="single"/>
              </w:rPr>
            </w:pPr>
            <w:r>
              <w:rPr>
                <w:sz w:val="22"/>
                <w:u w:val="single"/>
              </w:rPr>
              <w:t>Teaching</w:t>
            </w:r>
          </w:p>
          <w:p>
            <w:pPr>
              <w:pStyle w:val="Normal"/>
              <w:widowControl w:val="false"/>
              <w:jc w:val="both"/>
              <w:rPr>
                <w:sz w:val="6"/>
                <w:u w:val="single"/>
              </w:rPr>
            </w:pPr>
            <w:r>
              <w:rPr>
                <w:sz w:val="6"/>
                <w:u w:val="single"/>
              </w:rPr>
            </w:r>
          </w:p>
          <w:p>
            <w:pPr>
              <w:pStyle w:val="Normal"/>
              <w:widowControl w:val="false"/>
              <w:numPr>
                <w:ilvl w:val="0"/>
                <w:numId w:val="2"/>
              </w:numPr>
              <w:spacing w:before="0" w:after="60"/>
              <w:jc w:val="both"/>
              <w:rPr>
                <w:sz w:val="22"/>
              </w:rPr>
            </w:pPr>
            <w:r>
              <w:rPr>
                <w:sz w:val="22"/>
              </w:rPr>
              <w:t xml:space="preserve">Taught Corporate Finance, International Finance and Money and Banking at three universities. </w:t>
            </w:r>
          </w:p>
          <w:p>
            <w:pPr>
              <w:pStyle w:val="Normal"/>
              <w:widowControl w:val="false"/>
              <w:numPr>
                <w:ilvl w:val="0"/>
                <w:numId w:val="2"/>
              </w:numPr>
              <w:spacing w:before="0" w:after="60"/>
              <w:jc w:val="both"/>
              <w:rPr>
                <w:sz w:val="22"/>
              </w:rPr>
            </w:pPr>
            <w:r>
              <w:rPr>
                <w:sz w:val="22"/>
              </w:rPr>
              <w:t>Developed systems and procedures, including software, to record and track grades and information for over 800 students.</w:t>
            </w:r>
          </w:p>
          <w:p>
            <w:pPr>
              <w:pStyle w:val="Normal"/>
              <w:widowControl w:val="false"/>
              <w:numPr>
                <w:ilvl w:val="0"/>
                <w:numId w:val="2"/>
              </w:numPr>
              <w:spacing w:before="0" w:after="60"/>
              <w:jc w:val="both"/>
              <w:rPr>
                <w:sz w:val="22"/>
              </w:rPr>
            </w:pPr>
            <w:r>
              <w:rPr>
                <w:sz w:val="22"/>
              </w:rPr>
              <w:t>Instructor for Chartered Financial Analyst examination review course on investment policy issues.</w:t>
            </w:r>
          </w:p>
        </w:tc>
      </w:tr>
      <w:tr>
        <w:trPr/>
        <w:tc>
          <w:tcPr>
            <w:tcW w:w="2390" w:type="dxa"/>
            <w:tcBorders/>
          </w:tcPr>
          <w:p>
            <w:pPr>
              <w:pStyle w:val="Normal"/>
              <w:snapToGrid w:val="false"/>
              <w:rPr>
                <w:sz w:val="22"/>
              </w:rPr>
            </w:pPr>
            <w:r>
              <w:rPr>
                <w:sz w:val="22"/>
              </w:rPr>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snapToGrid w:val="false"/>
              <w:jc w:val="both"/>
              <w:rPr>
                <w:sz w:val="22"/>
                <w:u w:val="single"/>
              </w:rPr>
            </w:pPr>
            <w:r>
              <w:rPr>
                <w:sz w:val="22"/>
                <w:u w:val="single"/>
              </w:rPr>
            </w:r>
          </w:p>
          <w:p>
            <w:pPr>
              <w:pStyle w:val="Normal"/>
              <w:widowControl w:val="false"/>
              <w:jc w:val="both"/>
              <w:rPr>
                <w:sz w:val="22"/>
                <w:u w:val="single"/>
              </w:rPr>
            </w:pPr>
            <w:r>
              <w:rPr>
                <w:sz w:val="22"/>
                <w:u w:val="single"/>
              </w:rPr>
              <w:t>Research</w:t>
            </w:r>
          </w:p>
          <w:p>
            <w:pPr>
              <w:pStyle w:val="Normal"/>
              <w:widowControl w:val="false"/>
              <w:jc w:val="both"/>
              <w:rPr>
                <w:sz w:val="6"/>
                <w:u w:val="single"/>
              </w:rPr>
            </w:pPr>
            <w:r>
              <w:rPr>
                <w:sz w:val="6"/>
                <w:u w:val="single"/>
              </w:rPr>
            </w:r>
          </w:p>
          <w:p>
            <w:pPr>
              <w:pStyle w:val="Normal"/>
              <w:widowControl w:val="false"/>
              <w:jc w:val="both"/>
              <w:rPr>
                <w:sz w:val="22"/>
              </w:rPr>
            </w:pPr>
            <w:r>
              <w:rPr>
                <w:sz w:val="22"/>
              </w:rPr>
              <w:t>Presented numerous papers and provided commentary at professional association meetings, seminars and executive training programs.</w:t>
            </w:r>
          </w:p>
          <w:p>
            <w:pPr>
              <w:pStyle w:val="Normal"/>
              <w:widowControl w:val="false"/>
              <w:jc w:val="both"/>
              <w:rPr>
                <w:sz w:val="22"/>
              </w:rPr>
            </w:pPr>
            <w:r>
              <w:rPr>
                <w:sz w:val="22"/>
              </w:rPr>
            </w:r>
          </w:p>
        </w:tc>
      </w:tr>
      <w:tr>
        <w:trPr/>
        <w:tc>
          <w:tcPr>
            <w:tcW w:w="2390" w:type="dxa"/>
            <w:tcBorders/>
          </w:tcPr>
          <w:p>
            <w:pPr>
              <w:pStyle w:val="Normal"/>
              <w:widowControl w:val="false"/>
              <w:jc w:val="both"/>
              <w:rPr>
                <w:b/>
                <w:sz w:val="22"/>
              </w:rPr>
            </w:pPr>
            <w:r>
              <w:rPr>
                <w:b/>
                <w:sz w:val="22"/>
              </w:rPr>
              <w:t>Publications</w:t>
            </w:r>
          </w:p>
          <w:p>
            <w:pPr>
              <w:pStyle w:val="Normal"/>
              <w:widowControl w:val="false"/>
              <w:jc w:val="both"/>
              <w:rPr>
                <w:b/>
                <w:sz w:val="22"/>
              </w:rPr>
            </w:pPr>
            <w:r>
              <w:rPr>
                <w:b/>
                <w:sz w:val="22"/>
              </w:rPr>
            </w:r>
          </w:p>
        </w:tc>
        <w:tc>
          <w:tcPr>
            <w:tcW w:w="177" w:type="dxa"/>
            <w:tcBorders/>
          </w:tcPr>
          <w:p>
            <w:pPr>
              <w:pStyle w:val="Normal"/>
              <w:widowControl w:val="false"/>
              <w:snapToGrid w:val="false"/>
              <w:jc w:val="both"/>
              <w:rPr>
                <w:sz w:val="22"/>
              </w:rPr>
            </w:pPr>
            <w:r>
              <w:rPr>
                <w:sz w:val="22"/>
              </w:rPr>
            </w:r>
          </w:p>
        </w:tc>
        <w:tc>
          <w:tcPr>
            <w:tcW w:w="6613" w:type="dxa"/>
            <w:tcBorders/>
          </w:tcPr>
          <w:p>
            <w:pPr>
              <w:pStyle w:val="Normal"/>
              <w:widowControl w:val="false"/>
              <w:jc w:val="both"/>
              <w:rPr>
                <w:sz w:val="22"/>
              </w:rPr>
            </w:pPr>
            <w:r>
              <w:rPr>
                <w:sz w:val="22"/>
              </w:rPr>
              <w:t>“</w:t>
            </w:r>
            <w:r>
              <w:rPr>
                <w:sz w:val="22"/>
              </w:rPr>
              <w:t>Identify and convey IP to reveal true firm value” with Walter Bratic, in Hidden Value: Profiting from the intellectual property economy, 1999.</w:t>
            </w:r>
          </w:p>
          <w:p>
            <w:pPr>
              <w:pStyle w:val="Normal"/>
              <w:widowControl w:val="false"/>
              <w:jc w:val="both"/>
              <w:rPr>
                <w:sz w:val="22"/>
              </w:rPr>
            </w:pPr>
            <w:r>
              <w:rPr>
                <w:sz w:val="22"/>
              </w:rPr>
            </w:r>
          </w:p>
          <w:p>
            <w:pPr>
              <w:pStyle w:val="Normal"/>
              <w:widowControl w:val="false"/>
              <w:jc w:val="both"/>
              <w:rPr/>
            </w:pPr>
            <w:r>
              <w:rPr>
                <w:sz w:val="22"/>
              </w:rPr>
              <w:t>“</w:t>
            </w:r>
            <w:r>
              <w:rPr>
                <w:sz w:val="22"/>
              </w:rPr>
              <w:t xml:space="preserve">Accounting for Change:  Creating New Strategic Alliances” with Walter Bratic, </w:t>
            </w:r>
            <w:r>
              <w:rPr>
                <w:i/>
                <w:sz w:val="22"/>
              </w:rPr>
              <w:t>Law Governance Review</w:t>
            </w:r>
            <w:r>
              <w:rPr>
                <w:sz w:val="22"/>
              </w:rPr>
              <w:t>, June 1998.</w:t>
            </w:r>
          </w:p>
          <w:p>
            <w:pPr>
              <w:pStyle w:val="Normal"/>
              <w:widowControl w:val="false"/>
              <w:jc w:val="both"/>
              <w:rPr>
                <w:sz w:val="22"/>
              </w:rPr>
            </w:pPr>
            <w:r>
              <w:rPr>
                <w:sz w:val="22"/>
              </w:rPr>
            </w:r>
          </w:p>
          <w:p>
            <w:pPr>
              <w:pStyle w:val="Normal"/>
              <w:widowControl w:val="false"/>
              <w:jc w:val="both"/>
              <w:rPr/>
            </w:pPr>
            <w:r>
              <w:rPr>
                <w:sz w:val="22"/>
              </w:rPr>
              <w:t>“</w:t>
            </w:r>
            <w:r>
              <w:rPr>
                <w:sz w:val="22"/>
              </w:rPr>
              <w:t xml:space="preserve">Monte Carlo Analyses Aids Negotiations” with Walter Bratic and Bryan Benoit in </w:t>
            </w:r>
            <w:r>
              <w:rPr>
                <w:i/>
                <w:sz w:val="22"/>
              </w:rPr>
              <w:t>les Nouvelles</w:t>
            </w:r>
            <w:r>
              <w:rPr>
                <w:sz w:val="22"/>
              </w:rPr>
              <w:t>, June 1998.</w:t>
            </w:r>
          </w:p>
          <w:p>
            <w:pPr>
              <w:pStyle w:val="Normal"/>
              <w:widowControl w:val="false"/>
              <w:jc w:val="both"/>
              <w:rPr>
                <w:sz w:val="22"/>
              </w:rPr>
            </w:pPr>
            <w:r>
              <w:rPr>
                <w:sz w:val="22"/>
              </w:rPr>
            </w:r>
          </w:p>
          <w:p>
            <w:pPr>
              <w:pStyle w:val="Normal"/>
              <w:widowControl w:val="false"/>
              <w:jc w:val="both"/>
              <w:rPr/>
            </w:pPr>
            <w:r>
              <w:rPr>
                <w:sz w:val="22"/>
              </w:rPr>
              <w:t>“</w:t>
            </w:r>
            <w:r>
              <w:rPr>
                <w:sz w:val="22"/>
              </w:rPr>
              <w:t xml:space="preserve">Showing Irreparable Harm During Preliminary Injunction Hearings” with Walter  Bratic in </w:t>
            </w:r>
            <w:r>
              <w:rPr>
                <w:i/>
                <w:sz w:val="22"/>
              </w:rPr>
              <w:t>IP Litigator</w:t>
            </w:r>
            <w:r>
              <w:rPr>
                <w:sz w:val="22"/>
              </w:rPr>
              <w:t>, March/April, 1997.</w:t>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t>“</w:t>
            </w:r>
            <w:r>
              <w:rPr>
                <w:sz w:val="22"/>
              </w:rPr>
              <w:t>Ex-Dividend Day Stock Price Performance of American Depository Receipts,” with Arvind Mahajan and Robert Weigand, abstract published in Proceedings of the Global Finance Association Annual Meetings, Monterey, CA, 1994.</w:t>
            </w:r>
          </w:p>
          <w:p>
            <w:pPr>
              <w:pStyle w:val="Normal"/>
              <w:widowControl w:val="false"/>
              <w:jc w:val="both"/>
              <w:rPr>
                <w:sz w:val="22"/>
              </w:rPr>
            </w:pPr>
            <w:r>
              <w:rPr>
                <w:sz w:val="22"/>
              </w:rPr>
            </w:r>
          </w:p>
          <w:p>
            <w:pPr>
              <w:pStyle w:val="Normal"/>
              <w:widowControl w:val="false"/>
              <w:jc w:val="both"/>
              <w:rPr/>
            </w:pPr>
            <w:r>
              <w:rPr>
                <w:sz w:val="22"/>
              </w:rPr>
              <w:t xml:space="preserve">Financial Accounts Reports Editor for </w:t>
            </w:r>
            <w:r>
              <w:rPr>
                <w:i/>
                <w:sz w:val="22"/>
              </w:rPr>
              <w:t>Journal of Commercial Biotechnology</w:t>
            </w:r>
            <w:r>
              <w:rPr>
                <w:sz w:val="22"/>
              </w:rPr>
              <w:t xml:space="preserve">, Henry Stewart Publications, London, England.  </w:t>
            </w:r>
          </w:p>
        </w:tc>
      </w:tr>
      <w:tr>
        <w:trPr/>
        <w:tc>
          <w:tcPr>
            <w:tcW w:w="2390" w:type="dxa"/>
            <w:tcBorders/>
          </w:tcPr>
          <w:p>
            <w:pPr>
              <w:pStyle w:val="Normal"/>
              <w:widowControl w:val="false"/>
              <w:jc w:val="both"/>
              <w:rPr>
                <w:b/>
                <w:sz w:val="22"/>
              </w:rPr>
            </w:pPr>
            <w:r>
              <w:rPr>
                <w:b/>
                <w:sz w:val="22"/>
              </w:rPr>
              <w:t>Recent Speeches</w:t>
            </w:r>
          </w:p>
        </w:tc>
        <w:tc>
          <w:tcPr>
            <w:tcW w:w="177" w:type="dxa"/>
            <w:tcBorders/>
          </w:tcPr>
          <w:p>
            <w:pPr>
              <w:pStyle w:val="Normal"/>
              <w:widowControl w:val="false"/>
              <w:snapToGrid w:val="false"/>
              <w:jc w:val="both"/>
              <w:rPr>
                <w:b/>
                <w:sz w:val="22"/>
              </w:rPr>
            </w:pPr>
            <w:r>
              <w:rPr>
                <w:b/>
                <w:sz w:val="22"/>
              </w:rPr>
            </w:r>
          </w:p>
        </w:tc>
        <w:tc>
          <w:tcPr>
            <w:tcW w:w="6613" w:type="dxa"/>
            <w:tcBorders/>
          </w:tcPr>
          <w:p>
            <w:pPr>
              <w:pStyle w:val="Normal"/>
              <w:widowControl w:val="false"/>
              <w:jc w:val="both"/>
              <w:rPr>
                <w:sz w:val="22"/>
              </w:rPr>
            </w:pPr>
            <w:r>
              <w:rPr>
                <w:sz w:val="22"/>
              </w:rPr>
              <w:t>Guest lecturer at the University of Houston School of Law, "What do Mortgages and Patents have in Common? Securitization of IP Rights," Houston, TX, 1999.</w:t>
            </w:r>
          </w:p>
          <w:p>
            <w:pPr>
              <w:pStyle w:val="Normal"/>
              <w:widowControl w:val="false"/>
              <w:jc w:val="both"/>
              <w:rPr>
                <w:sz w:val="22"/>
              </w:rPr>
            </w:pPr>
            <w:r>
              <w:rPr>
                <w:sz w:val="22"/>
              </w:rPr>
            </w:r>
          </w:p>
          <w:p>
            <w:pPr>
              <w:pStyle w:val="Normal"/>
              <w:widowControl w:val="false"/>
              <w:jc w:val="both"/>
              <w:rPr>
                <w:sz w:val="22"/>
              </w:rPr>
            </w:pPr>
            <w:r>
              <w:rPr>
                <w:sz w:val="22"/>
              </w:rPr>
              <w:t>Panelist in  “Measurement of the Bottom Line Results of Anticounterfeit Strategies,” Product Counterfeiting Protection Drivers &amp; Solutions, San Francisco, CA, 1999.</w:t>
            </w:r>
          </w:p>
          <w:p>
            <w:pPr>
              <w:pStyle w:val="Normal"/>
              <w:widowControl w:val="false"/>
              <w:jc w:val="both"/>
              <w:rPr>
                <w:sz w:val="22"/>
              </w:rPr>
            </w:pPr>
            <w:r>
              <w:rPr>
                <w:sz w:val="22"/>
              </w:rPr>
            </w:r>
          </w:p>
          <w:p>
            <w:pPr>
              <w:pStyle w:val="Normal"/>
              <w:widowControl w:val="false"/>
              <w:jc w:val="both"/>
              <w:rPr>
                <w:sz w:val="22"/>
              </w:rPr>
            </w:pPr>
            <w:r>
              <w:rPr>
                <w:sz w:val="22"/>
              </w:rPr>
            </w:r>
          </w:p>
          <w:p>
            <w:pPr>
              <w:pStyle w:val="Normal"/>
              <w:widowControl w:val="false"/>
              <w:jc w:val="both"/>
              <w:rPr>
                <w:sz w:val="22"/>
              </w:rPr>
            </w:pPr>
            <w:r>
              <w:rPr>
                <w:sz w:val="22"/>
              </w:rPr>
              <w:t>Panelist in “Proving Damages and Recovering Attorney’s Fees in Non-Routine Cases,” International Anti-Counterfeiting Coalition Meeting,  Santa Monica, CA, 1998.</w:t>
            </w:r>
          </w:p>
          <w:p>
            <w:pPr>
              <w:pStyle w:val="Normal"/>
              <w:widowControl w:val="false"/>
              <w:jc w:val="both"/>
              <w:rPr>
                <w:sz w:val="22"/>
              </w:rPr>
            </w:pPr>
            <w:r>
              <w:rPr>
                <w:sz w:val="22"/>
              </w:rPr>
            </w:r>
          </w:p>
          <w:p>
            <w:pPr>
              <w:pStyle w:val="Normal"/>
              <w:widowControl w:val="false"/>
              <w:jc w:val="both"/>
              <w:rPr>
                <w:sz w:val="22"/>
              </w:rPr>
            </w:pPr>
            <w:r>
              <w:rPr>
                <w:sz w:val="22"/>
              </w:rPr>
              <w:t>“</w:t>
            </w:r>
            <w:r>
              <w:rPr>
                <w:sz w:val="22"/>
              </w:rPr>
              <w:t>How to Maximize License &amp; Value Drivers:  From the Crossroads to the Monte Carlo Grand Prix”, Valuation of Intellectual Capital, New York,  NY, 1998.</w:t>
            </w:r>
          </w:p>
          <w:p>
            <w:pPr>
              <w:pStyle w:val="Normal"/>
              <w:widowControl w:val="false"/>
              <w:jc w:val="both"/>
              <w:rPr>
                <w:sz w:val="22"/>
              </w:rPr>
            </w:pPr>
            <w:r>
              <w:rPr>
                <w:sz w:val="22"/>
              </w:rPr>
            </w:r>
          </w:p>
          <w:p>
            <w:pPr>
              <w:pStyle w:val="Normal"/>
              <w:widowControl w:val="false"/>
              <w:jc w:val="both"/>
              <w:rPr>
                <w:color w:val="000000"/>
                <w:sz w:val="24"/>
              </w:rPr>
            </w:pPr>
            <w:r>
              <w:rPr>
                <w:sz w:val="22"/>
              </w:rPr>
              <w:t>“</w:t>
            </w:r>
            <w:r>
              <w:rPr>
                <w:sz w:val="22"/>
              </w:rPr>
              <w:t>How to Maximize License &amp; Value Drivers:  From the Crossroads to the Monte Carlo Grand Prix”, Valuation of Intellectual Capital, Los Angeles, CA, 1998.</w:t>
            </w:r>
          </w:p>
        </w:tc>
      </w:tr>
    </w:tbl>
    <w:p>
      <w:pPr>
        <w:pStyle w:val="Normal"/>
        <w:rPr/>
      </w:pPr>
      <w:r>
        <w:rPr/>
      </w:r>
    </w:p>
    <w:sectPr>
      <w:headerReference w:type="default" r:id="rId2"/>
      <w:headerReference w:type="first" r:id="rId3"/>
      <w:type w:val="nextPage"/>
      <w:pgSz w:w="12240" w:h="15840"/>
      <w:pgMar w:left="1584" w:right="1584" w:gutter="0" w:header="2160" w:top="2216"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t>James W. Woods, Ph.D.</w:t>
    </w:r>
  </w:p>
  <w:p>
    <w:pPr>
      <w:pStyle w:val="Header"/>
      <w:jc w:val="end"/>
      <w:rPr>
        <w:rStyle w:val="PageNumber"/>
        <w:b/>
        <w:sz w:val="28"/>
      </w:rPr>
    </w:pPr>
    <w:r>
      <w:rPr>
        <w:b/>
        <w:sz w:val="28"/>
      </w:rPr>
      <w:t xml:space="preserve">Page </w:t>
    </w:r>
    <w:r>
      <w:rPr>
        <w:rStyle w:val="PageNumber"/>
        <w:b/>
        <w:sz w:val="28"/>
      </w:rPr>
      <w:fldChar w:fldCharType="begin"/>
    </w:r>
    <w:r>
      <w:rPr>
        <w:rStyle w:val="PageNumber"/>
        <w:sz w:val="28"/>
        <w:b/>
      </w:rPr>
      <w:instrText xml:space="preserve"> PAGE </w:instrText>
    </w:r>
    <w:r>
      <w:rPr>
        <w:rStyle w:val="PageNumber"/>
        <w:sz w:val="28"/>
        <w:b/>
      </w:rPr>
      <w:fldChar w:fldCharType="separate"/>
    </w:r>
    <w:r>
      <w:rPr>
        <w:rStyle w:val="PageNumber"/>
        <w:sz w:val="28"/>
        <w:b/>
      </w:rPr>
      <w:t>4</w:t>
    </w:r>
    <w:r>
      <w:rPr>
        <w:rStyle w:val="PageNumber"/>
        <w:sz w:val="28"/>
        <w:b/>
      </w:rPr>
      <w:fldChar w:fldCharType="end"/>
    </w:r>
  </w:p>
  <w:p>
    <w:pPr>
      <w:pStyle w:val="Header"/>
      <w:jc w:val="end"/>
      <w:rPr>
        <w:rStyle w:val="PageNumber"/>
        <w:b/>
        <w:sz w:val="28"/>
      </w:rPr>
    </w:pPr>
    <w:r>
      <w:rPr/>
    </w:r>
  </w:p>
  <w:p>
    <w:pPr>
      <w:pStyle w:val="Header"/>
      <w:jc w:val="end"/>
      <w:rPr>
        <w:b/>
        <w:sz w:val="28"/>
      </w:rPr>
    </w:pPr>
    <w:r>
      <w:rPr>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jc w:val="end"/>
      <w:rPr>
        <w:b/>
        <w:sz w:val="28"/>
      </w:rPr>
    </w:pPr>
    <w:r>
      <w:rPr>
        <w:b/>
        <w:sz w:val="28"/>
      </w:rPr>
    </w:r>
  </w:p>
  <w:p>
    <w:pPr>
      <w:pStyle w:val="Header"/>
      <w:jc w:val="end"/>
      <w:rPr>
        <w:b/>
        <w:sz w:val="28"/>
      </w:rPr>
    </w:pPr>
    <w:r>
      <w:rPr>
        <w:b/>
        <w:sz w:val="28"/>
      </w:rPr>
      <w:t>James W. Woods, Ph.D.</w:t>
    </w:r>
  </w:p>
  <w:p>
    <w:pPr>
      <w:pStyle w:val="Header"/>
      <w:jc w:val="end"/>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right" w:pos="9792" w:leader="none"/>
      </w:tabs>
      <w:jc w:val="end"/>
      <w:outlineLvl w:val="0"/>
    </w:pPr>
    <w:rPr>
      <w:b/>
      <w:sz w:val="24"/>
    </w:rPr>
  </w:style>
  <w:style w:type="paragraph" w:styleId="Heading2">
    <w:name w:val="heading 2"/>
    <w:basedOn w:val="Normal"/>
    <w:next w:val="Normal"/>
    <w:qFormat/>
    <w:pPr>
      <w:keepNext w:val="true"/>
      <w:widowControl w:val="false"/>
      <w:numPr>
        <w:ilvl w:val="1"/>
        <w:numId w:val="1"/>
      </w:numPr>
      <w:jc w:val="both"/>
      <w:outlineLvl w:val="1"/>
    </w:pPr>
    <w:rPr>
      <w:b/>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widowControl w:val="false"/>
      <w:numPr>
        <w:ilvl w:val="3"/>
        <w:numId w:val="1"/>
      </w:numPr>
      <w:jc w:val="both"/>
      <w:outlineLvl w:val="3"/>
    </w:pPr>
    <w:rPr>
      <w:sz w:val="22"/>
      <w:u w:val="single"/>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2000-08-09T13:54:00Z</dcterms:created>
  <dc:creator>Price Waterhouse LLP</dc:creator>
  <dc:description/>
  <dc:language>en-CA</dc:language>
  <cp:lastModifiedBy>forest peterson</cp:lastModifiedBy>
  <cp:lastPrinted>2000-08-08T09:50:00Z</cp:lastPrinted>
  <dcterms:modified xsi:type="dcterms:W3CDTF">2000-08-09T13:54:00Z</dcterms:modified>
  <cp:revision>2</cp:revision>
  <dc:subject/>
  <dc:title>	 PATRICK W</dc:title>
</cp:coreProperties>
</file>