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 w:val="right" w:pos="9000" w:leader="none"/>
        </w:tabs>
        <w:rPr/>
      </w:pPr>
      <w:r>
        <w:rPr/>
        <w:t>COM/CXW/tcg ***</w:t>
        <w:tab/>
      </w:r>
      <w:r>
        <w:rPr>
          <w:b/>
          <w:sz w:val="32"/>
        </w:rPr>
        <w:t>DRAFT</w:t>
      </w:r>
      <w:r>
        <w:rPr/>
        <w:tab/>
      </w:r>
      <w:r>
        <w:rPr>
          <w:b/>
        </w:rPr>
        <w:t>H-10</w:t>
      </w:r>
    </w:p>
    <w:p>
      <w:pPr>
        <w:pStyle w:val="Header"/>
        <w:tabs>
          <w:tab w:val="clear" w:pos="8640"/>
          <w:tab w:val="center" w:pos="4320" w:leader="none"/>
          <w:tab w:val="right" w:pos="9360" w:leader="none"/>
        </w:tabs>
        <w:rPr>
          <w:b/>
        </w:rPr>
      </w:pPr>
      <w:r>
        <w:rPr>
          <w:b/>
        </w:rPr>
        <w:tab/>
        <w:tab/>
        <w:t>3/27/2001</w:t>
      </w:r>
    </w:p>
    <w:p>
      <w:pPr>
        <w:pStyle w:val="Heading1"/>
        <w:ind w:hanging="0" w:start="0"/>
        <w:rPr/>
      </w:pPr>
      <w:r>
        <w:rPr/>
      </w:r>
    </w:p>
    <w:p>
      <w:pPr>
        <w:pStyle w:val="Header"/>
        <w:rPr/>
      </w:pPr>
      <w:r>
        <w:rPr/>
        <w:t xml:space="preserve">Decision </w:t>
      </w:r>
      <w:r>
        <w:rPr>
          <w:b/>
          <w:u w:val="single"/>
        </w:rPr>
        <w:t>REVISED DRAFT DECISION OF COMMISSIONER WOOD</w:t>
        <w:br/>
      </w:r>
    </w:p>
    <w:p>
      <w:pPr>
        <w:pStyle w:val="main"/>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058"/>
        <w:gridCol w:w="4187"/>
      </w:tblGrid>
      <w:tr>
        <w:trPr/>
        <w:tc>
          <w:tcPr>
            <w:tcW w:w="5058" w:type="dxa"/>
            <w:tcBorders>
              <w:bottom w:val="single" w:sz="6" w:space="0" w:color="000000"/>
              <w:end w:val="single" w:sz="6" w:space="0" w:color="000000"/>
            </w:tcBorders>
          </w:tcPr>
          <w:p>
            <w:pPr>
              <w:pStyle w:val="BodyText"/>
              <w:rPr/>
            </w:pPr>
            <w:r>
              <w:rPr/>
              <w:t>Order Instituting Rulemaking into Implementation of Pub. Util. Code § 390.</w:t>
            </w:r>
          </w:p>
          <w:p>
            <w:pPr>
              <w:pStyle w:val="Normal"/>
              <w:rPr/>
            </w:pPr>
            <w:r>
              <w:rPr/>
            </w:r>
          </w:p>
        </w:tc>
        <w:tc>
          <w:tcPr>
            <w:tcW w:w="4187" w:type="dxa"/>
            <w:tcBorders/>
          </w:tcPr>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main"/>
        <w:spacing w:lineRule="auto" w:line="360" w:before="0" w:after="120"/>
        <w:rPr/>
      </w:pPr>
      <w:r>
        <w:rPr/>
        <w:t>DECISION MODIFYING DECISION 96-12-028</w:t>
      </w:r>
    </w:p>
    <w:p>
      <w:pPr>
        <w:pStyle w:val="standard"/>
        <w:rPr/>
      </w:pPr>
      <w:r>
        <w:rPr/>
        <w:t>Payments to private producers of electricity who have the status of “qualifying facilities” (QFs) are governed by orders of this commission establishing standard rates for purchases that are just and reasonable to the electric consumers, consistent with regulations adopted by the Federal Energy Regulatory Commission (FERC).  (18 CFR Part 292, subpart C, and California law.)  This decision resolves the petition to modify an element of the formula for calculating QF energy payments adopted in Decision (D.) 96-12-028 filed by Southern California Edison Company (SCE).  The Administrative Law Judge (ALJ) further expanded the scope of the proceeding to consider modifications to the natural gas price indices adopted in D.96-12-028.</w:t>
      </w:r>
    </w:p>
    <w:p>
      <w:pPr>
        <w:pStyle w:val="standard"/>
        <w:rPr/>
      </w:pPr>
      <w:r>
        <w:rPr/>
        <w:t xml:space="preserve">This decision adopts a formula, to be updated periodically, to revise SCE’s factor adopted in D.96-12-028 and establishes a procedure to replace the Topock index adopted in D.96-12-028.  The formula presently applies to the energy payments for all QFs, including those who do not use natural gas a fuel.  This decision does not change that practice. Through its investigative audits in the Rate Stabilization Proceedings, Application (A.) 99-01-016 </w:t>
      </w:r>
      <w:r>
        <w:rPr>
          <w:i/>
        </w:rPr>
        <w:t>et alia</w:t>
      </w:r>
      <w:r>
        <w:rPr/>
        <w:t>, the commission is aware that utilities have not been paying QFs for deliveries for the past several months, while accumulating cash.  Effective with the approval of this order, the utilities are ordered to make payments to QFs for energy deliveries made on and after the effective date of this order, within 15 days after presentation of an invoice.  Invoices may be presented by a QF twice monthly, beginning on April 15.  The commission proposes a significant penalty for failure to make payments going forward.</w:t>
      </w:r>
    </w:p>
    <w:p>
      <w:pPr>
        <w:pStyle w:val="standard"/>
        <w:rPr>
          <w:rFonts w:ascii="Times New Roman" w:hAnsi="Times New Roman" w:cs="Times New Roman"/>
          <w:b/>
        </w:rPr>
      </w:pPr>
      <w:r>
        <w:rPr/>
        <w:t>This decision establishes a Consumer Transition Price (CTP) as a reasonableness benchmark for payments to qualifying facilities of $ 79 per megawatt-hour (MWh).  The CTP level is based on the reasonableness standard described by the Federal Energy Regulatory Commission in 93 FERC ¶ 61,294 and the average price of the portfolio of electricity supply developed by the California Department of Water Resources (CDWR) for the next five years.  The CTP describes a general pricing goal for the average cost of QF production, including both energy and capacity payments specified in a contract between the purchasing utility and the QF.  The CTP may be modified from time to time based on evolving conditions affecting electric energy prices and costs.   It will not be employed as a cap or ceiling on payments.</w:t>
      </w:r>
    </w:p>
    <w:p>
      <w:pPr>
        <w:pStyle w:val="Heading1"/>
        <w:spacing w:lineRule="auto" w:line="360"/>
        <w:ind w:hanging="0" w:start="0"/>
        <w:rPr/>
      </w:pPr>
      <w:r>
        <w:rPr/>
        <w:t>Procedural Background</w:t>
      </w:r>
    </w:p>
    <w:p>
      <w:pPr>
        <w:pStyle w:val="standard"/>
        <w:rPr/>
      </w:pPr>
      <w:r>
        <w:rPr/>
        <w:t xml:space="preserve">D.96-12-028 governs short-run avoided cost (SRAC) payments made by SCE, San Diego Gas &amp; Electric Company (SDG&amp;E), and Pacific Gas and Electric Company (PG&amp;E) to qualifying facilities (QFs).  The avoided cost posting is based on a Transition Formula adopted in D.96-12-028 that incorporates various border price indices for natural gas.  Each Transition Formula contains a utility specific “factor” designed to relate SRAC prices to gas border prices for that utility.  Although explicitly intended to be “transitional,” </w:t>
      </w:r>
      <w:r>
        <w:rPr>
          <w:i/>
        </w:rPr>
        <w:t>i.e.</w:t>
      </w:r>
      <w:r>
        <w:rPr/>
        <w:t xml:space="preserve"> short-lived, the formulas have been in place for over four years, during which time significant changes have occurred in both the gas and electric markets.  It is time that they be revisited.</w:t>
      </w:r>
    </w:p>
    <w:p>
      <w:pPr>
        <w:pStyle w:val="standard"/>
        <w:rPr/>
      </w:pPr>
      <w:r>
        <w:rPr/>
        <w:t>On July 28, 2000, SCE filed a petition to modify D.96-12-028 to revise its Transition Formula.  On August 28, 2000, in comments on SCE’s petition, the Office of Ratepayer Advocates (ORA) recommended that the Commission review the border gas indices used in SCE’s Transition Formula on an emergency basis.  In addition, ORA referenced a complaint filed by this Commission at FERC that seeks rescision of certain contracts that the Commission contends have permitted natural gas suppliers and their affiliates to increase prices through the withholding of capacity.  On September 1, 2000, the Assigned ALJ issued a ruling adding the question of the reliability and validity of the border prices to the issues raised in SCE’s petition to modify D.96-12-028.  Comments and replies were filed on September 27, 2000 and October 30, 2000, respectively, on these issues.  Comments on additional options for border prices were solicited by ruling on December 1, 2000.  Comments and reply comments on these additional options were received on December 11 and 15, 2000, respectively.</w:t>
      </w:r>
    </w:p>
    <w:p>
      <w:pPr>
        <w:pStyle w:val="standard"/>
        <w:rPr/>
      </w:pPr>
      <w:r>
        <w:rPr/>
        <w:t>On August 31, 2000, SCE filed an emergency motion seeking authorization for a provisional qualifying facility avoided cost posting for September 2000 and future months while the underlying petition was pending.  That motion was denied in D.00-10-030.  On November 28, 2000, SCE filed a second emergency motion, this time seeking an order modifying D.96-12-028 in several respects and requesting an expedited schedule for Commission action on the underlying petition to modify.  The Commission has not addressed the November 28, 2000 emergency motion.</w:t>
      </w:r>
    </w:p>
    <w:p>
      <w:pPr>
        <w:pStyle w:val="Heading1"/>
        <w:spacing w:lineRule="auto" w:line="360"/>
        <w:ind w:hanging="0" w:start="0"/>
        <w:rPr/>
      </w:pPr>
      <w:r>
        <w:rPr/>
        <w:t>Background of the Transition Formula</w:t>
      </w:r>
    </w:p>
    <w:p>
      <w:pPr>
        <w:pStyle w:val="standard"/>
        <w:rPr/>
      </w:pPr>
      <w:r>
        <w:rPr/>
        <w:t>D.96-12-028 described the history of the various methodologies used to establish short-run avoided costs (SRAC).</w:t>
      </w:r>
    </w:p>
    <w:p>
      <w:pPr>
        <w:pStyle w:val="quote"/>
        <w:spacing w:before="120" w:after="120"/>
        <w:ind w:end="1354"/>
        <w:rPr/>
      </w:pPr>
      <w:r>
        <w:rPr/>
        <w:t xml:space="preserve">The index methodology has been used as a proxy for the gas rate [in SRAC].  In a series of decisions beginning with D.91109, issued in 1979, the Commission established a methodology for the electric utilities to follow in making the monthly posting.  When the fuel on the margin was natural gas, the utility was to apply to the calculation its weighted average cost of gas (WACOG).  If it included noncore gas in its UEG supplies, then the utility was to use the noncore WACOG for that portion.  </w:t>
      </w:r>
    </w:p>
    <w:p>
      <w:pPr>
        <w:pStyle w:val="quote"/>
        <w:spacing w:before="120" w:after="120"/>
        <w:ind w:end="1440"/>
        <w:rPr/>
      </w:pPr>
      <w:r>
        <w:rPr/>
        <w:t>In D.91-10-0239, the Commission adopted an interim methodology designed to replace the noncore WACOG.  [Footnote omitted].  The noncore WACOG represented a bundled commodity and transportation price at the California border (or local distribution company city-gate) and the adopted methodology was intended to serve as a proxy for that price.</w:t>
      </w:r>
    </w:p>
    <w:p>
      <w:pPr>
        <w:pStyle w:val="quote"/>
        <w:ind w:end="1440"/>
        <w:rPr/>
      </w:pPr>
      <w:r>
        <w:rPr/>
        <w:t>The index methodology represented a price for buying the commodity to which is added the utility’s forecast cost of transportation to the California border.  The index methodology prices gas purchased at a known supply basin at the weighted average cost of gas in that basin (according to indices derived from trade publications) plus the full tariffed cost of firm transportation to the California border.  (D.96</w:t>
        <w:noBreakHyphen/>
        <w:t>12</w:t>
        <w:noBreakHyphen/>
        <w:t xml:space="preserve">028, </w:t>
      </w:r>
      <w:r>
        <w:rPr>
          <w:i/>
        </w:rPr>
        <w:t>mimeo.</w:t>
      </w:r>
      <w:r>
        <w:rPr/>
        <w:t>, at 3-4.)</w:t>
      </w:r>
    </w:p>
    <w:p>
      <w:pPr>
        <w:pStyle w:val="standard"/>
        <w:rPr/>
      </w:pPr>
      <w:r>
        <w:rPr/>
        <w:t>In 1996, Assembly Bill (AB) 1890 (Chapter 854, Stats. 1996) was signed into law.  AB 1890 included § 390 of the Public Utilities Code, which addresses pricing for qualifying facility energy.  Section 390(b) states:</w:t>
      </w:r>
    </w:p>
    <w:p>
      <w:pPr>
        <w:pStyle w:val="quote"/>
        <w:ind w:end="1440"/>
        <w:rPr/>
      </w:pPr>
      <w:r>
        <w:rPr/>
        <w:t>Until the requirements of subdivision (c) have been satisfied, short run avoided cost energy payments paid to nonutility power generators by an electrical corporation shall be based on a formula that reflects a starting energy price, adjusted monthly to reflect changes in a starting gas index price in relation to an average of current California natural gas border price indices.  The starting energy price shall be based on 12</w:t>
        <w:noBreakHyphen/>
        <w:t>month averages of recent, pre-January 1, 1996, short-run avoided energy prices paid by each public utility electrical corporation to nonutility power generators.  The starting gas index price shall be established as an average of index gas prices for the same annual periods.</w:t>
      </w:r>
    </w:p>
    <w:p>
      <w:pPr>
        <w:pStyle w:val="standard"/>
        <w:rPr/>
      </w:pPr>
      <w:r>
        <w:rPr/>
        <w:t>D.96-12-028 implemented § 390(b) through the adoption of a Transition Formula.  The Transition Formula assumes a starting energy price for each utility, called Pbase.  Pbase was calculated using 1995 values for the incremental system heat rate (the IER), average border gas prices and average interstate and intrastate gas transportation costs (collectively, the burnertip gas price), and a variable operations and maintenance (“O&amp;M”) adder.  As specified in § 390(b), the Transition Formula provides for the starting energy price to be adjusted monthly to reflect changes in assumed utility fuel costs, as reflected in percentage changes to certain border gas price indices.  The Commission also adopted a “factor” that, according to D.96-12-028, was “necessary to yield a fair representation of the historical values required by AB 1890.”  (D.96-12-028, p. 14.)</w:t>
      </w:r>
    </w:p>
    <w:p>
      <w:pPr>
        <w:pStyle w:val="Heading1"/>
        <w:spacing w:lineRule="auto" w:line="360"/>
        <w:ind w:hanging="0" w:start="0"/>
        <w:rPr/>
      </w:pPr>
      <w:r>
        <w:rPr/>
        <w:t>The SRAC Factor</w:t>
      </w:r>
    </w:p>
    <w:p>
      <w:pPr>
        <w:pStyle w:val="standard"/>
        <w:rPr/>
      </w:pPr>
      <w:r>
        <w:rPr/>
        <w:t>For SCE, D.96-12-028 set the Factor at 0.7067, which represented a regression describing the historical relationship between changes in border gas costs and SCE’s calculated avoided cost.  SCE argues that “because the difference between burnertip gas prices and border gas prices (accounted for by gas transportation costs) assumed in the Transition Formula has declined dramatically over recent years, the Factor established by the Commission in 1996 no longer properly adjusts for the actual impact of changes in border gas prices on SCE’s assumed avoided cost.”  (SCE Petition, p. 3.)  SCE requests that we modify the factor so that it is adjusted monthly.  SCE did not present in formula form the methodology to derive the monthly factor, but based on its pleadings, it would be calculated as follows:</w:t>
      </w:r>
    </w:p>
    <w:p>
      <w:pPr>
        <w:pStyle w:val="standard"/>
        <w:rPr/>
      </w:pPr>
      <w:r>
        <w:rPr/>
        <w:t>Factor =</w:t>
        <w:tab/>
        <w:t>(((IER * (GPN + GTN))/10,000) + O&amp;M) – Pbase</w:t>
      </w:r>
    </w:p>
    <w:p>
      <w:pPr>
        <w:pStyle w:val="standard"/>
        <w:rPr/>
      </w:pPr>
      <w:r>
        <w:rPr/>
        <w:tab/>
        <w:tab/>
        <w:t>Pbase * ((GPN – GPbase)/GPbase)</w:t>
      </w:r>
    </w:p>
    <w:p>
      <w:pPr>
        <w:pStyle w:val="standard"/>
        <w:spacing w:lineRule="auto" w:line="240"/>
        <w:rPr/>
      </w:pPr>
      <w:r>
        <w:rPr/>
      </w:r>
    </w:p>
    <w:p>
      <w:pPr>
        <w:pStyle w:val="standard"/>
        <w:rPr/>
      </w:pPr>
      <w:r>
        <w:rPr/>
        <w:t>Where:</w:t>
        <w:tab/>
        <w:t>IER = 9,140 Btu/kWh</w:t>
      </w:r>
    </w:p>
    <w:p>
      <w:pPr>
        <w:pStyle w:val="standard"/>
        <w:rPr/>
      </w:pPr>
      <w:r>
        <w:rPr/>
        <w:tab/>
        <w:tab/>
        <w:t>GP</w:t>
      </w:r>
      <w:r>
        <w:rPr>
          <w:vertAlign w:val="subscript"/>
        </w:rPr>
        <w:t>N</w:t>
      </w:r>
      <w:r>
        <w:rPr/>
        <w:t xml:space="preserve"> = the monthly border gas price</w:t>
      </w:r>
    </w:p>
    <w:p>
      <w:pPr>
        <w:pStyle w:val="standard"/>
        <w:rPr/>
      </w:pPr>
      <w:r>
        <w:rPr/>
        <w:tab/>
        <w:tab/>
        <w:t>GT</w:t>
      </w:r>
      <w:r>
        <w:rPr>
          <w:vertAlign w:val="subscript"/>
        </w:rPr>
        <w:t>N</w:t>
      </w:r>
      <w:r>
        <w:rPr/>
        <w:t xml:space="preserve"> = intrastate transportation calculated as</w:t>
      </w:r>
    </w:p>
    <w:p>
      <w:pPr>
        <w:pStyle w:val="standard"/>
        <w:rPr/>
      </w:pPr>
      <w:r>
        <w:rPr/>
        <w:t>GT-F5 rate + ITCS rate + G-MSUR component</w:t>
      </w:r>
      <w:r>
        <w:rPr>
          <w:rStyle w:val="FootnoteCharacters"/>
          <w:rStyle w:val="FootnoteReference"/>
        </w:rPr>
        <w:footnoteReference w:id="2"/>
      </w:r>
    </w:p>
    <w:p>
      <w:pPr>
        <w:pStyle w:val="standard"/>
        <w:rPr/>
      </w:pPr>
      <w:r>
        <w:rPr/>
        <w:tab/>
        <w:tab/>
        <w:t>O&amp;M = 0.2 cents/kWh</w:t>
      </w:r>
    </w:p>
    <w:p>
      <w:pPr>
        <w:pStyle w:val="standard"/>
        <w:rPr/>
      </w:pPr>
      <w:r>
        <w:rPr/>
        <w:tab/>
        <w:tab/>
        <w:t>Pbase = 2.0808 cents/kWh</w:t>
      </w:r>
    </w:p>
    <w:p>
      <w:pPr>
        <w:pStyle w:val="standard"/>
        <w:rPr/>
      </w:pPr>
      <w:r>
        <w:rPr/>
        <w:tab/>
        <w:tab/>
        <w:t>GP</w:t>
      </w:r>
      <w:r>
        <w:rPr>
          <w:vertAlign w:val="subscript"/>
        </w:rPr>
        <w:t>base</w:t>
      </w:r>
      <w:r>
        <w:rPr/>
        <w:t xml:space="preserve"> = $1.3975/MMBtu</w:t>
      </w:r>
    </w:p>
    <w:p>
      <w:pPr>
        <w:pStyle w:val="standard"/>
        <w:rPr/>
      </w:pPr>
      <w:r>
        <w:rPr/>
        <w:t>Pbase and GP</w:t>
      </w:r>
      <w:r>
        <w:rPr>
          <w:vertAlign w:val="subscript"/>
        </w:rPr>
        <w:t>base</w:t>
      </w:r>
      <w:r>
        <w:rPr/>
        <w:t xml:space="preserve"> were specified in D.96-12-028.  In its Petition, SCE states that Pbase was calculated assuming an IER value of 9,140 Btu/kWh and an O&amp;M adder of 0.2¢/kWh.  (SCE Petition, p. 8.)  In essence, modification of the factor in the manner proposed more closely ties the resulting avoided costs to the IER methodology used prior to D.96-12-028.</w:t>
      </w:r>
    </w:p>
    <w:p>
      <w:pPr>
        <w:pStyle w:val="standard"/>
        <w:rPr/>
      </w:pPr>
      <w:r>
        <w:rPr/>
        <w:t>ORA supports SCE’s proposed modification to the factor.  ORA finds SCE’s requested modification of the factor “consistent with the Commission’s intent to keep the indices within the SRAC transition formula reliable and in-step with the dynamics of the market. … In particular, ORA supports SCE’s petition because it effectively keeps the SRAC transition formula energy price aligned with the utility’s avoided cost as defined by PURPA.”</w:t>
      </w:r>
      <w:r>
        <w:rPr>
          <w:rStyle w:val="FootnoteCharacters"/>
          <w:rStyle w:val="FootnoteReference"/>
        </w:rPr>
        <w:footnoteReference w:id="3"/>
      </w:r>
      <w:r>
        <w:rPr/>
        <w:t xml:space="preserve">  (ORA August 28, 2000 Comments, p. 2.)  ORA believes that a fixed value factor is “incapable of reflecting changes in the utility’s avoided cost of gas purchases.  (ORA August 28, 2000 Comments, p. 2.)  ORA argues that SCE’s petition reflects the need to update the Transition Formula based on the changes in the gas industry, specifically the trend of declining intrastate transportation costs.</w:t>
      </w:r>
    </w:p>
    <w:p>
      <w:pPr>
        <w:pStyle w:val="standard"/>
        <w:rPr/>
      </w:pPr>
      <w:r>
        <w:rPr/>
        <w:t xml:space="preserve">The California Cogeneration Council (CCC) argues that the factor is the product of a linear regression comparing historical SRAC prices and historical gas border prices.  CCC argues that the factor bears no relationship to the cost of intrastate transportation.  Rather, CCC argues that the starting price, Pbase, is the only element of the Transition Formula that bears a relationship to intrastate transportation costs, and § 390(b) sets the starting price based on historical cost relationships, not current cost relationships.  CCC argues that it would be unfair to modify any component of the Transition Formula based on changes to only one underlying element.  CCC is simply pointing out “that it would be methodologically unsound … to reflect the impact of lower intrastate transportation rates and not account for changes in other assumed values that, if recalculated, would result in the SCE Formula producing higher SRAC prices.”  (CCC August 28, 2000 Comments, p. 11.)  </w:t>
      </w:r>
    </w:p>
    <w:p>
      <w:pPr>
        <w:pStyle w:val="standard"/>
        <w:rPr/>
      </w:pPr>
      <w:r>
        <w:rPr/>
        <w:t>FPL Energy LLC and Caithness Energy L.L.C. (FPL/Caithness) likewise argue that “the transition formulas represent carefully negotiated balances among the parties’ interests and reconsideration of one element requires consideration of all elements.”  (FPL/Caithness August 28, 2000 Comments, pp. 1-2.)  Both FPL/Caithness and CCC raise the concern that SCE’s proposed change to the factor could be detrimental to California’s fragile supply and demand balance by disrupting QF supply.</w:t>
      </w:r>
    </w:p>
    <w:p>
      <w:pPr>
        <w:pStyle w:val="standard"/>
        <w:rPr/>
      </w:pPr>
      <w:r>
        <w:rPr/>
        <w:t>PG&amp;E has not proposed to modify its factors and no party has commented on this possibility.  SDG&amp;E clarifies in comments on the draft decision that it also seeks modifications to its factor in the same manner we have modified SCE’s factor.  Unlike SCE, SDG&amp;E did not present information in its comments to allow us to determine whether changes to input in the factor have changed.  Therefore, we decline to make this modification for SDG&amp;E at this time.  SDG&amp;E may renew its request in a fully supported petition.</w:t>
      </w:r>
    </w:p>
    <w:p>
      <w:pPr>
        <w:pStyle w:val="Heading1"/>
        <w:ind w:hanging="0" w:start="0"/>
        <w:rPr/>
      </w:pPr>
      <w:r>
        <w:rPr/>
        <w:t>Issues Presented</w:t>
      </w:r>
    </w:p>
    <w:p>
      <w:pPr>
        <w:pStyle w:val="Heading2"/>
        <w:spacing w:lineRule="auto" w:line="360" w:before="120" w:after="120"/>
        <w:rPr/>
      </w:pPr>
      <w:r>
        <w:rPr/>
        <w:t>Procedural Issues</w:t>
      </w:r>
    </w:p>
    <w:p>
      <w:pPr>
        <w:pStyle w:val="sub1"/>
        <w:rPr/>
      </w:pPr>
      <w:r>
        <w:rPr/>
        <w:t>In comments, parties raise certain procedural objections to SCE’s Petition.  First, Enron Wind Corporation (EWC) argues that SCE’s Petition does not meet the requirements of Rule 47 of the Commission’s Rules of Practice and Procedure.  EWC argues that the petition must be summarily dismissed because the petition is neither timely nor consistent with the requirement that petitions contain declarations supporting new or changed facts relied upon in the petition.  Rule 47 does not require petitions to modify to be filed within one year; therefore we find that SCE’s Petition does not fail on the basis of timeliness.  EWC is correct that SCE’s Petition does not include a declaration supporting new facts relied upon.  However, the facts asserted, that intrastate gas transportation costs have declined between 1996 and 2000, are easily verifiable from a review of Southern California Gas Company’s tariffs.  Commenters do not dispute the fact that these decreases have occurred.  We will not reject the Petition on the basis of lack of declarations.</w:t>
      </w:r>
    </w:p>
    <w:p>
      <w:pPr>
        <w:pStyle w:val="sub1"/>
        <w:rPr/>
      </w:pPr>
      <w:r>
        <w:rPr/>
        <w:t xml:space="preserve">Second, EWC and the Independent Energy Producers (IEP) argue that evidentiary hearings are required in order to modify D.96-12-028.  We note that no hearings were held leading up to the adoption of D.96-12-028.  The parties have clearly laid out their substantive arguments against SCE’s recommended course of action in their comments.  We do not find that there are disputed facts at issue regarding SCE’s proposed modification to the factor that require evidentiary hearings. </w:t>
      </w:r>
    </w:p>
    <w:p>
      <w:pPr>
        <w:pStyle w:val="sub1"/>
        <w:rPr/>
      </w:pPr>
      <w:r>
        <w:rPr/>
        <w:t>Finally, we must determine whether modifying the factor is permitted under § 390(b) or D.96-12-028.  SCE argues that the Commission has discretion to modify the factor because § 390(b) “directs the Commission to implement ‘a formula’; it does not tell the Commission the details of the formula to implement.”  (SCE Petition, p. 15.)  SCE also points out that “Section 390(b) itself says nothing about such a factor.”  (SCE Petition, p. 16.)  SCE argues that the “Commission’s incorporation of the Factor into the Transition Formula equation is highly significant.  It both establishes a precedent for including components in the Transition Formula that are not specifically prescribed by the statute and provides authority for modification of the Transition Formula to incorporate a revised Factor…”  (SCE Petition, p. 16.)</w:t>
      </w:r>
    </w:p>
    <w:p>
      <w:pPr>
        <w:pStyle w:val="sub1"/>
        <w:rPr/>
      </w:pPr>
      <w:r>
        <w:rPr/>
        <w:t>CCC argues that SCE’s proposal to modify the Factor conflicts with § 390(b) because SCE is attempting to modify the starting price, Pbase, indirectly through modification of the Factor.  CCC argues that modification of the starting price would clearly conflict with § 390(b) and therefore, modification to the Factor, as proposed by SCE, is not appropriate.  CCC states: “[b]ecause adjusting the Starting Price to reflect a decrease in intrastate transportation rates would conflict with the provisions of Section 390(b), so would adjusting the Factor so that the SCE Formula yields SRAC prices that reflect a decrease in intrastate transportation rates from the historical rate incorporated in the Starting Price.” (CCC August 28, 2000 Comments, p. 5.)  IEP supports this argument.</w:t>
      </w:r>
    </w:p>
    <w:p>
      <w:pPr>
        <w:pStyle w:val="sub1"/>
        <w:rPr/>
      </w:pPr>
      <w:r>
        <w:rPr/>
        <w:t>CCC also argues that, “under D.96-12-028 the only element of the SCE Formula that may be properly modified to reflect changed market conditions is the set of gas border price indices used in calculating increases in SCE’s avoided variable costs.”  (CCC August 28, 2000 Comments, p. 6.)  FPL Energy, LLC (FPL) and Caithness Energy, L.L.C. (Caithness) filed joint comments that state that D.96-12-028 “provides no opportunity for altering any other aspect of the formula, including the gas factor.”  (FPL/Caithness August 28, 2000 Comments, p. 6.)  Cogeneration Association of California (CAC) also supports this position.</w:t>
      </w:r>
    </w:p>
    <w:p>
      <w:pPr>
        <w:pStyle w:val="sub1"/>
        <w:spacing w:lineRule="auto" w:line="240"/>
        <w:rPr/>
      </w:pPr>
      <w:r>
        <w:rPr/>
        <w:t>SCE argues:</w:t>
      </w:r>
    </w:p>
    <w:p>
      <w:pPr>
        <w:pStyle w:val="quote1"/>
        <w:rPr/>
      </w:pPr>
      <w:r>
        <w:rPr/>
        <w:t>Section 390(b) does not expressly refer to a “factor,” and most certainly does not require adoption of any factor, much less the one approved by the Commission in D.96</w:t>
        <w:noBreakHyphen/>
        <w:t>12-028.  Indeed, …, the Commission’s approval of a Transition Formula containing a “factor” when none is expressly required or authorized by Section 390(b) can only mean that the Commission has already interpreted Section 390(b) as allowing it sufficient latitude to incorporate the “factor” in the SCE Transition Formula.  [Citation omitted.] If the Commission had that discretion in the first instance, it clearly can now exercise the same discretion to modify the “factor” without running afoul of section 390(b).  (SCE September 27, 2000 Comments</w:t>
      </w:r>
      <w:r>
        <w:rPr>
          <w:rStyle w:val="FootnoteCharacters"/>
          <w:rStyle w:val="FootnoteReference"/>
        </w:rPr>
        <w:footnoteReference w:id="4"/>
      </w:r>
      <w:r>
        <w:rPr/>
        <w:t>, p. 34.)</w:t>
      </w:r>
    </w:p>
    <w:p>
      <w:pPr>
        <w:pStyle w:val="sub1"/>
        <w:rPr/>
      </w:pPr>
      <w:r>
        <w:rPr/>
        <w:t>CAC acknowledges that it “was by agreement of the parties, including Edison, that the gas Factor and other features of the Transition Formula were provided and adopted by the Commission,” and that § 390 does not include a factor.  (CAC August 28, 2000 Comments, p. 8.)  CCC and IEP’s arguments focus on the merits of modifying the Factor in the manner specifically proposed by SCE not the legality per se of modifying the Factor.  We will consider the merits of those substantive arguments below.</w:t>
      </w:r>
    </w:p>
    <w:p>
      <w:pPr>
        <w:pStyle w:val="sub1"/>
        <w:rPr/>
      </w:pPr>
      <w:r>
        <w:rPr/>
        <w:t>In addition, we acknowledge the arguments of QFs that D.96-12-028 limits our ability to revise the Transition Formula.  We disagree that the Commission’s invitation to parties in D.96-12-028 to petition to modify the border indices precludes parties from seeking modification of D.96</w:t>
        <w:noBreakHyphen/>
        <w:t xml:space="preserve">12-028 on any other grounds.  The Commission never indicated that a change in the border indices was the </w:t>
      </w:r>
      <w:r>
        <w:rPr>
          <w:i/>
        </w:rPr>
        <w:t xml:space="preserve">only </w:t>
      </w:r>
      <w:r>
        <w:rPr/>
        <w:t xml:space="preserve">basis on which to seek a modification of that decision, but rather spelled out requirements if that particular change was sought.  These arguments would be obviated by legislative clarification.  </w:t>
      </w:r>
    </w:p>
    <w:p>
      <w:pPr>
        <w:pStyle w:val="sub1"/>
        <w:rPr/>
      </w:pPr>
      <w:r>
        <w:rPr/>
        <w:t>Pub. Util. Code § 1708 provides the Commission with the discretion to “rescind, alter, or amend any order or decision made by it” after an opportunity to be heard.  Parties have not identified disputed facts.  Therefore we find that the Commission has the discretion to modify the factor, should it choose to do so, without evidentiary hearings.</w:t>
      </w:r>
    </w:p>
    <w:p>
      <w:pPr>
        <w:pStyle w:val="Heading2"/>
        <w:spacing w:lineRule="auto" w:line="360" w:before="120" w:after="120"/>
        <w:rPr/>
      </w:pPr>
      <w:r>
        <w:rPr/>
        <w:t>Substantive Issues</w:t>
      </w:r>
    </w:p>
    <w:p>
      <w:pPr>
        <w:pStyle w:val="sub1"/>
        <w:rPr/>
      </w:pPr>
      <w:r>
        <w:rPr/>
        <w:t xml:space="preserve">First, we must determine whether we should modify the factor as proposed, or in some other manner.  For example, we must determine whether all elements that made up the “factor” (IER, burnertip gas prices, and variable O&amp;M) should be considered in modifying the “factor” or whether changes to intrastate transportation rates should be looked at in isolation from other elements of the formula. </w:t>
      </w:r>
    </w:p>
    <w:p>
      <w:pPr>
        <w:pStyle w:val="sub1"/>
        <w:rPr/>
      </w:pPr>
      <w:r>
        <w:rPr/>
        <w:t xml:space="preserve">The factor was developed so that changes in border gas prices would be reflected in SRAC prices in a proportional manner to how changes in border gas prices affected SRAC prices under the index methodology.  In order to emulate the results under the index methodology, a factor was required, because SRAC prices did not change on a one-for-one basis with border gas prices. </w:t>
      </w:r>
    </w:p>
    <w:p>
      <w:pPr>
        <w:pStyle w:val="sub1"/>
        <w:rPr/>
      </w:pPr>
      <w:r>
        <w:rPr/>
        <w:t xml:space="preserve">In considering whether to update the factor we must decide whether it is appropriate to try to make today’s avoided costs emulate avoided costs calculated under the index methodology.  The index methodology was developed during a time that utilities owned gas-fired generating facilities and operated those plants on the margin.  Gas purchased to fuel those plants represented an element of SCE’s avoided cost.  SCE has since sold off almost all of its gas-fired generating facilities and no longer procures substantial amounts of gas.  To meet incremental electricity needs, SCE no longer turns to its own facilities as it did in the past, but instead turns to the electricity market.  Thus it is unclear that going forward, the statutory requirement to base SRAC payments on California border gas prices accurately represents SCE’s avoided cost of electricity.  Arguments about how SCE would have procured gas today and comparisons to how it procured gas prior to selling its generating units do not add much value to solving the problem of how to calculate SRAC on a going forward basis.  However, § 390(b) currently requires us to calculate SRAC using gas prices as the primary input, effectively trying to mimic the index methodology. </w:t>
      </w:r>
    </w:p>
    <w:p>
      <w:pPr>
        <w:pStyle w:val="sub1"/>
        <w:rPr/>
      </w:pPr>
      <w:r>
        <w:rPr/>
        <w:t>There is no reason the Transition Formula should not be updated periodically as major inputs change.  However, updating just one element does not retain the balance established by the formula.  Therefore, we find it appropriate to update all elements of the proposed monthly factor formula, not just the intrastate gas cost component as proposed by SCE.</w:t>
      </w:r>
      <w:r>
        <w:rPr>
          <w:rStyle w:val="FootnoteCharacters"/>
          <w:rStyle w:val="FootnoteReference"/>
        </w:rPr>
        <w:footnoteReference w:id="5"/>
      </w:r>
      <w:r>
        <w:rPr/>
        <w:t xml:space="preserve">  With the exception of the IER and variable O&amp;M, all elements can be calculated based on tariffed rates or published indices.  The IER has historically been controversial to calculate.  CCC suggests that the IER has increased; SCE counters that generating efficiency has improved and that the IER has likely decreased. </w:t>
      </w:r>
    </w:p>
    <w:p>
      <w:pPr>
        <w:pStyle w:val="sub1"/>
        <w:rPr/>
      </w:pPr>
      <w:r>
        <w:rPr/>
        <w:t>We will convert SCE’s fixed factor to a formula, effective with the next regularly scheduled SRAC posting.  However, we do not have a sufficient record to update the IER or variable O&amp;M components, so changes to the monthly factor will be subject to possible upward adjustment based on our review of the IER and variable O&amp;M.  On May 1, 2001, parties should serve concurrent opening testimony proposing how to calculate the incremental system heat rate and variable O&amp;M for SCE.  Reply Testimony should be served on May 21, 2001.  Evidentiary hearings will be scheduled shortly thereafter.  Any downward adjustments to the IER and/or variable O&amp;M should be made on a going forward basis from the point in time of that decision.  If the decision adopts revisions to the IER and variable O&amp;M would increase the monthly factor, the IER and variable O&amp;M revisions should be made effective with the first posting that includes a monthly factor.  In the meantime, the monthly factor shall be calculated using 9,140 Btu/kWh as proposed by SCE.</w:t>
      </w:r>
    </w:p>
    <w:p>
      <w:pPr>
        <w:pStyle w:val="sub1"/>
        <w:rPr/>
      </w:pPr>
      <w:r>
        <w:rPr/>
        <w:t>As we have decided that modification of SCE’s factor is appropriate, we must consider whether modification to the “factors” of SDG&amp;E and PG&amp;E is appropriate.  No party has proposed that PG&amp;E’s factor requires updating.  SDG&amp;E did ask that its factor be modified in the same way as SCE’s factor.  Unlike SCE, SDG&amp;E did not present information in its comments to allow us to determine whether changes to inputs in the factor have changed.  Therefore, we decline to make this modification for SDG&amp;E at this time.  SDG&amp;E may renew its request in a fully supported petition.  At this time we will not adjust the factors of PG&amp;E or SDG&amp;E.</w:t>
      </w:r>
    </w:p>
    <w:p>
      <w:pPr>
        <w:pStyle w:val="Heading1"/>
        <w:spacing w:lineRule="auto" w:line="360"/>
        <w:ind w:hanging="0" w:start="0"/>
        <w:rPr/>
      </w:pPr>
      <w:r>
        <w:rPr/>
        <w:t>Gas Prices</w:t>
      </w:r>
    </w:p>
    <w:p>
      <w:pPr>
        <w:pStyle w:val="standard"/>
        <w:rPr/>
      </w:pPr>
      <w:r>
        <w:rPr/>
        <w:t>The gas prices used to calculate SCE’s short-run avoided costs rely on published border prices at Topock.</w:t>
      </w:r>
      <w:r>
        <w:rPr>
          <w:rStyle w:val="FootnoteCharacters"/>
          <w:rStyle w:val="FootnoteReference"/>
        </w:rPr>
        <w:footnoteReference w:id="6"/>
      </w:r>
      <w:r>
        <w:rPr/>
        <w:t xml:space="preserve">  SDG&amp;E’s short-run avoided costs also rely on Topock indices.  PG&amp;E’s short-run avoided costs are based on a 50/50 weighting of published border prices at Malin</w:t>
      </w:r>
      <w:r>
        <w:rPr>
          <w:rStyle w:val="FootnoteCharacters"/>
          <w:rStyle w:val="FootnoteReference"/>
        </w:rPr>
        <w:footnoteReference w:id="7"/>
      </w:r>
      <w:r>
        <w:rPr/>
        <w:t xml:space="preserve"> and Topock.</w:t>
      </w:r>
    </w:p>
    <w:p>
      <w:pPr>
        <w:pStyle w:val="standard"/>
        <w:spacing w:lineRule="auto" w:line="240"/>
        <w:rPr/>
      </w:pPr>
      <w:r>
        <w:rPr/>
        <w:t>D.96-12-028, p. 15, provides that:</w:t>
      </w:r>
    </w:p>
    <w:p>
      <w:pPr>
        <w:pStyle w:val="quote"/>
        <w:rPr/>
      </w:pPr>
      <w:r>
        <w:rPr/>
        <w:t>As the market continues to evolve, parties may wish to rely on new published indices.  [Footnote omitted.]  Parties may file petitions to modify this decision if they wish to change the indices adopted herein.  Before making this request, parties should confer regarding the accuracy and robustness of such new indices.  As a minimum, we require that there be four months of reliable information available.</w:t>
      </w:r>
    </w:p>
    <w:p>
      <w:pPr>
        <w:pStyle w:val="standard"/>
        <w:rPr/>
      </w:pPr>
      <w:r>
        <w:rPr/>
        <w:t>According to its Petition, on July 18, 2000, SCE held a meet and confer session to discuss possible changes to gas price indices.</w:t>
      </w:r>
      <w:r>
        <w:rPr>
          <w:rStyle w:val="FootnoteCharacters"/>
          <w:rStyle w:val="FootnoteReference"/>
        </w:rPr>
        <w:footnoteReference w:id="8"/>
      </w:r>
      <w:r>
        <w:rPr/>
        <w:t xml:space="preserve">  SCE’s Petition filed after that meeting did not propose replacement of gas price indices.  In comments on the Petition, ORA proposed that the Commission consider replacing the Topock index because of concerns over market power abuse, and suggested that the Malin border price might serve as an appropriate replacement.  ORA’s comments argued that the Commission’s Section 5 complaint at FERC (Docket No. RP00</w:t>
        <w:noBreakHyphen/>
        <w:t>241-000) “casts serious doubt on the continued legitimacy of the border indices in the SRAC formula.”  (ORA August 28, 2000 Comments, p. 8.)  The ALJ provided parties an opportunity to comment on issues surrounding the border indices and propose alternative indices if so desired.</w:t>
      </w:r>
    </w:p>
    <w:p>
      <w:pPr>
        <w:pStyle w:val="standard"/>
        <w:rPr/>
      </w:pPr>
      <w:r>
        <w:rPr/>
        <w:t>SCE states that it historically employed a portfolio approach to gas procurement.  SCE argues that when the Commission adopted D.96-12-028, the Topock indices “represented a reasonable proxy for the commodity portion of SCE’s avoided cost of gas” (SCE September 27, 2000 Comments, p. 16) because of their robustness and reflection of market dynamics.  “Whether the Topock indices continue to represent a fair approximation of SCE’s avoided cost of gas depends, therefore, on whether the ‘market determined prices’ reflected in the Topock indices are the result of robust, competitive market dynamics.”  (SCE September 27, 2000 Comments, p. 17.)  SCE argues that “the gas pricing components in the Transition Formula [are] no longer performing their intended function of representing a fair approximation of SCE’s avoided fuel cost going forward.”  (SCE September 27, 2000 Comments, p. 5.)  SCE presented an analysis to support its position that continued use of the Topock index price overstates its avoided costs.</w:t>
      </w:r>
    </w:p>
    <w:p>
      <w:pPr>
        <w:pStyle w:val="standard"/>
        <w:rPr/>
      </w:pPr>
      <w:r>
        <w:rPr/>
        <w:t>SCE argues that Topock indices no longer meet the robustness criteria adopted in D.96-12-028 because of withholding of capacity on the El Paso pipeline.  SCE alleges here, and this Commission has argued to FERC, that withholding of capacity on the El Paso pipeline has driven up the basis differential</w:t>
      </w:r>
      <w:r>
        <w:rPr>
          <w:rStyle w:val="FootnoteCharacters"/>
          <w:rStyle w:val="FootnoteReference"/>
        </w:rPr>
        <w:footnoteReference w:id="9"/>
      </w:r>
      <w:r>
        <w:rPr/>
        <w:t xml:space="preserve"> between the San Juan Basin (a producing basin) and the California/Arizona border.  In addition, SCE argues that because many QF gas purchases are linked or tied to the Topock indices</w:t>
      </w:r>
      <w:r>
        <w:rPr>
          <w:rStyle w:val="FootnoteCharacters"/>
          <w:rStyle w:val="FootnoteReference"/>
        </w:rPr>
        <w:footnoteReference w:id="10"/>
      </w:r>
      <w:r>
        <w:rPr/>
        <w:t xml:space="preserve"> that many noncore gas users are now insensitive to the price of natural gas.  (SCE September 27, 2000 Comments, p. 12.)  SCE argues that this price inelasticity may be a contributing factor to the increase in Topock prices.  (See SCE September 27, 2000, pp. 12-13.) In its December 15, 2000 Comments, SCE Declarant Eric Lavik states “It is my understanding from communications with representatives of these publications that fewer transaction have recently been reported at the Southern California border at Topock than has historically been the case.”  (SCE December 15, 2000 Comments, p. 26.) </w:t>
      </w:r>
    </w:p>
    <w:p>
      <w:pPr>
        <w:pStyle w:val="standard"/>
        <w:rPr/>
      </w:pPr>
      <w:r>
        <w:rPr/>
        <w:t>QF Parties</w:t>
      </w:r>
      <w:r>
        <w:rPr>
          <w:rStyle w:val="FootnoteCharacters"/>
          <w:rStyle w:val="FootnoteReference"/>
        </w:rPr>
        <w:footnoteReference w:id="11"/>
      </w:r>
      <w:r>
        <w:rPr/>
        <w:t xml:space="preserve"> argue that basis differentials “between California border prices and producing region prices are influenced by many factors, including fundamental demand factors in California, supply disruptions such as the El Paso accident, and certain trading strategies of market participants.”  (QF Parties September 27, 2000 Comments, p. 2.)</w:t>
      </w:r>
      <w:r>
        <w:rPr>
          <w:rStyle w:val="FootnoteCharacters"/>
          <w:rStyle w:val="FootnoteReference"/>
        </w:rPr>
        <w:footnoteReference w:id="12"/>
      </w:r>
      <w:r>
        <w:rPr/>
        <w:t xml:space="preserve">  QF Parties argue that high demand for natural gas in California, coupled with utilization of the pipeline system at close to capacity makes it unsurprising that prices at the border have risen.  This price signal, QF Parties assert, serves the function of alerting the market that pipeline capacity should be expanded.  (See QF Parties September 27, 2000 Comments, p. 12.)  CAC argues that it is not the indices that are causing problems, but rather the market itself.  (CAC September 13, 2000 Comments</w:t>
      </w:r>
      <w:r>
        <w:rPr>
          <w:rStyle w:val="FootnoteCharacters"/>
          <w:rStyle w:val="FootnoteReference"/>
        </w:rPr>
        <w:footnoteReference w:id="13"/>
      </w:r>
      <w:r>
        <w:rPr/>
        <w:t xml:space="preserve">, p. 4.)  QF Parties and CAC also point out that the Topock indices are used in performance based ratemaking mechanisms for Southern California Gas Company and PG&amp;E and that ORA has not raised any issues about the continued use of the Topock index for that purpose. </w:t>
      </w:r>
    </w:p>
    <w:p>
      <w:pPr>
        <w:pStyle w:val="standard"/>
        <w:rPr/>
      </w:pPr>
      <w:r>
        <w:rPr/>
        <w:t xml:space="preserve">SCE argues that market power abuse and QF pas procurement approaches render the Topock price no longer representative of SCE’s gas purchases.  Therefore, SCE argues that we must replace the Topock price in the Transition Formula with another index that has not been subject to market power abuse.  In its September 27, 2000 Comments, SCE proposes two options to replace the Topock index, Malin or San Juan Basin plus $0.18/MMBtu.  $0.18/MMBtu represents the average cost of interstate transportation between the San Juan Basin and Topock in 1997.  SCE states that Malin has not been subject to the same market abuse that has occurred at Topock. </w:t>
      </w:r>
    </w:p>
    <w:p>
      <w:pPr>
        <w:pStyle w:val="standard"/>
        <w:rPr/>
      </w:pPr>
      <w:r>
        <w:rPr/>
        <w:t xml:space="preserve">In its November 28, 2000 emergency motion, SCE withdrew its support for Malin to replace the Topock index.  Instead, SCE now recommends replacing the simple average of the three published Topock border indices currently used in the SCE Transition Formula with an index consisting of (i) 10% of the simple average of three border indices at Topock (as published in </w:t>
      </w:r>
      <w:r>
        <w:rPr>
          <w:i/>
        </w:rPr>
        <w:t>Btu Daily Gas Wire, Natural Gas Intelligenc</w:t>
      </w:r>
      <w:r>
        <w:rPr/>
        <w:t xml:space="preserve">e, and </w:t>
      </w:r>
      <w:r>
        <w:rPr>
          <w:i/>
        </w:rPr>
        <w:t>Natural Gas Wee</w:t>
      </w:r>
      <w:r>
        <w:rPr/>
        <w:t>k) and (ii) 90% of Southern California Gas Company’s (“SoCalGas”) monthly published Schedule G-CS Cost of Gas.  In a December 1, 2000 Ruling, comments were allowed on this new proposal and on two other options.</w:t>
      </w:r>
    </w:p>
    <w:p>
      <w:pPr>
        <w:pStyle w:val="standard"/>
        <w:rPr/>
      </w:pPr>
      <w:r>
        <w:rPr/>
        <w:t>Most parties oppose use of any of the options identified by SCE or in the December 1, 2000 Ruling.  Coastal Merchant Energy, L.P. (Coastal)</w:t>
      </w:r>
      <w:r>
        <w:rPr>
          <w:rStyle w:val="FootnoteCharacters"/>
          <w:rStyle w:val="FootnoteReference"/>
        </w:rPr>
        <w:footnoteReference w:id="14"/>
      </w:r>
      <w:r>
        <w:rPr/>
        <w:t xml:space="preserve"> and QF Parties argue that SCE’s avoided fuel costs should be based on a Southern California border receipt point, not a Northern California border receipt point.  Therefore, although not supporting use of Malin in lieu of Topock, both Coastal and QF Parties recommend that, if we adopt Malin as a replacement for Topock, we add intrastate transportation costs to bring it to Southern California.  A review of PG&amp;E’s tariffs indicates that PG&amp;E’s G</w:t>
        <w:noBreakHyphen/>
        <w:t>AFTOFF or G-AAOFF from Malin to Off System on the Redwood Path would accomplish this proposed adjustment.  QF Parties also identified other possible Southern California border indices, namely North Needles, Wheeler Ridge, and Kern River Station, that could replace Topock.</w:t>
      </w:r>
    </w:p>
    <w:p>
      <w:pPr>
        <w:pStyle w:val="standard"/>
        <w:rPr/>
      </w:pPr>
      <w:r>
        <w:rPr/>
        <w:t xml:space="preserve">QF Parties argue that use of basin prices adjusted for interstate transportation is unlawful under § 390(b) because it does not rely on border prices as required by the statute.  QF Parties also criticize SCE’s proposal to adjust the San Juan basin price by the 1997 basis differential as violating the § 390(b) requirement to use current prices in comparing gas prices to the starting price of gas. </w:t>
      </w:r>
    </w:p>
    <w:p>
      <w:pPr>
        <w:pStyle w:val="Heading2"/>
        <w:spacing w:lineRule="auto" w:line="360" w:before="120" w:after="120"/>
        <w:rPr/>
      </w:pPr>
      <w:r>
        <w:rPr/>
        <w:t>Discussion</w:t>
      </w:r>
    </w:p>
    <w:p>
      <w:pPr>
        <w:pStyle w:val="sub1"/>
        <w:rPr/>
      </w:pPr>
      <w:r>
        <w:rPr/>
        <w:t>FERC has the ultimate authority and responsibility to provide relief to California ratepayers should it concur with our complaint that market power abuse has artificially raised gas prices at the California border.  We need not have a definitive ruling that market power abuse is occurring to find that the Topock border index no longer represents a robust market.  The comments in numerous rounds of pleadings on this matter have convinced us that the Topock index is no longer sufficiently robust to be utilized in the Transition Formula.  Numerous QF parties have submitted declarations regarding how the gas they purchase is tied or linked to Topock prices.  Based on the declarations submitted, it is clear that almost none of the QFs that submitted declarations actually purchase gas at Topock, and thus, their purchases are not reflected in the Topock price reported in various publications.  Although no specific evidence was adduced regarding the size of the market at Topock (either in terms of number of transactions or volume) at the time D.96-12-028 was adopted or today, it is clear that a significant volume of purchases are not reflected in reported border prices.  This reduces the liquidity of the Topock market, making it more susceptible to price manipulation.  It is just this sort of reduced liquidity asserted by SCE in the December 15, 2000 declaration of Eric Lavik, paragraph 5.</w:t>
      </w:r>
    </w:p>
    <w:p>
      <w:pPr>
        <w:pStyle w:val="sub1"/>
        <w:rPr/>
      </w:pPr>
      <w:r>
        <w:rPr/>
        <w:t>The possibility of market power abuse on the El Paso pipeline coupled with reduced liquidity in the Topock market convinces us that Topock no longer meets the requirement of reflecting a robust market required in D.96-12-028.  We will direct the Energy Division to conduct a workshop on the various gas cost options to replace Topock -- Malin plus intrastate transport to Southern California, basin price plus tariffed interstate transport, continued use of indices at Topock or some other location or some combination of these – and report to the Commission within thirty five days.  The primary guidance that we give the Energy Division is that the proposals to be considered should reflect gas supply arrangements at the California border that are physically and financially available to QFs.</w:t>
      </w:r>
    </w:p>
    <w:p>
      <w:pPr>
        <w:pStyle w:val="sub1"/>
        <w:rPr/>
      </w:pPr>
      <w:r>
        <w:rPr/>
      </w:r>
    </w:p>
    <w:p>
      <w:pPr>
        <w:pStyle w:val="sub1"/>
        <w:rPr/>
      </w:pPr>
      <w:r>
        <w:rPr/>
        <w:t xml:space="preserve">Next we must determine whether the replacement for Topock meets the requirement of PURPA that it represent the purchasing utility’s avoided cost.  In its November 28, 2000 Emergency Motion, SCE asserts that if it still owned gas fired generating facilities, it would not purchase gas solely at the border to meet its gas requirements and therefore a border price index cannot represent its avoided cost.  We do not need to find that SCE would have purchased gas solely at the border to find that using Malin plus intrastate transportation or some other measure of gas cost at the California border is a reasonable proxy for SCE’s avoided cost of gas and is consistent with PURPA.  As SCE emphasizes in its September 29, 2000 Comments, in adopting the Topock indices, “the Commission clearly did not find that SCE had historically purchased natural gas at a price </w:t>
      </w:r>
      <w:r>
        <w:rPr>
          <w:i/>
        </w:rPr>
        <w:t>equal to</w:t>
      </w:r>
      <w:r>
        <w:rPr/>
        <w:t xml:space="preserve"> the simple average of the Topock indices.”  (SCE September 27, 2000 Comments, p. 16, emphasis in original.)  By making this statement, SCE acknowledges that in a given month its avoided cost of fuel will differ from the proxy relied on in the Transition Formula, but on average, the proxy will reasonably approximate its procurement costs.  SCE itself argues that Malin indices have closely approximated what it believes the price of gas would be in an undistorted Topock market.  (See SCE October 30, 2000 Comments, p. 12.)  Over time, setting avoided cost based on a robust border price index can reasonably represent gas procurement costs under a portfolio procurement strategy and therefore will generally meet the requirements of PURPA.  </w:t>
      </w:r>
    </w:p>
    <w:p>
      <w:pPr>
        <w:pStyle w:val="sub1"/>
        <w:rPr/>
      </w:pPr>
      <w:r>
        <w:rPr/>
        <w:t xml:space="preserve">One option that is consistent with § 390(b) is to rely on Malin, either alone, or in combination with intrastate transportation costs to bring that gas to Southern California.  When SCE owned gas-fired generating facilities, it purchased gas in the Southern California market, therefore if we no longer rely on a California border price at a Southern California market center, but instead use a different border index, the price must be adjusted to represent a Southern California market.  We agree with QF Parties that adjusting Malin prices to include intrastate transportation to Southern California is appropriate.  QF Parties themselves state that “[t]ypically, Canadian volumes from Malin that are transported to southern California receive a price at Kern River Station that is within one or two cents per MMBtu of the Topock price.”  (QF Parties September 27, 2000 Comments, p. 10.)  We find that adopting a Malin border price plus intrastate transportation as a temporary replacement for Topock meets the requirements of § 390(b).  Pending the receipt of the Energy Division report and action on it by the Commission, we will adopt Malin plus intrastate transportation in lieu of Topock for use in the Transition Formula.  </w:t>
      </w:r>
    </w:p>
    <w:p>
      <w:pPr>
        <w:pStyle w:val="Heading1"/>
        <w:spacing w:lineRule="auto" w:line="360"/>
        <w:ind w:hanging="0" w:start="0"/>
        <w:rPr/>
      </w:pPr>
      <w:r>
        <w:rPr/>
        <w:t>Consumer Transition Price</w:t>
      </w:r>
    </w:p>
    <w:p>
      <w:pPr>
        <w:pStyle w:val="standard"/>
        <w:rPr/>
      </w:pPr>
      <w:r>
        <w:rPr/>
        <w:t>We must also harmonize our state statute with PURPA’s requirements that rates for QF purchases “Be just and reasonable to the electric consumer of the electric utility and in the public interest”.  (18 CFR §292.304(a)(i).)  We take official notice of FERC’s December 15, 2000 order (93 FERC ¶ 61,294) where FERC found that California’s market was yielding unjust and unreasonable rates.  (93 FERC ¶ 61,294 at 7-8.)  QF contracts represent long-term purchase commitments by utilities, on which sellers have been and continue to be able to rely.  These are precisely the type of commitments that FERC has recommended as a shelter from the pricing volatility and unreasonableness of short term wholesale markets, characterizing them as an element of the “fundamental remedy.”  (</w:t>
      </w:r>
      <w:r>
        <w:rPr>
          <w:i/>
        </w:rPr>
        <w:t>Ibid</w:t>
      </w:r>
      <w:r>
        <w:rPr/>
        <w:t>. 24-25.)  In that order, FERC also found that an average of historical utility embedded cost of generation would represent an appropriate benchmark for determining the prudency of forward contracts.  (93 FERC ¶ 61,294 at 27.)  FERC goes on to state that negotiated prices below this historic level are just and reasonable.</w:t>
      </w:r>
      <w:r>
        <w:rPr>
          <w:rStyle w:val="FootnoteCharacters"/>
          <w:rStyle w:val="FootnoteReference"/>
        </w:rPr>
        <w:footnoteReference w:id="15"/>
      </w:r>
    </w:p>
    <w:p>
      <w:pPr>
        <w:pStyle w:val="standard"/>
        <w:rPr/>
      </w:pPr>
      <w:r>
        <w:rPr/>
        <w:t>Reliance solely on §390(b) to calculate QF prices has recently yielded prices far in excess of this reasonableness benchmark.  FERC has found that prices for short-term wholesale energy are unjust and unreasonable.  PURPA requires that rates paid to QFs be just and reasonable.  Therefore, although we conclude that, over time, setting avoided cost consistent with § 390(b) may have met the requirements of PURPA, at specific points in time, the § 390(b) Transition Formula may yield prices that exceed FERC’s reasonableness benchmark. We will continue to rely on the Transition Formula as the primary QF pricing methodology for energy but will establish a Consumer Transition Price (CTP) for prices posted under this methodology as a reasonableness benchmark based on the CDWR portfolio to express our expectations that under PURPA payments to QFs be just and reasonable for electric consumers.</w:t>
      </w:r>
      <w:r>
        <w:rPr>
          <w:rStyle w:val="FootnoteCharacters"/>
          <w:rStyle w:val="FootnoteReference"/>
        </w:rPr>
        <w:footnoteReference w:id="16"/>
      </w:r>
      <w:r>
        <w:rPr/>
        <w:t xml:space="preserve">  Other actions that we take today dramatically illustrate the pain inflicted on the California economy by unbounded wholesale prices.  QFs are long-term suppliers with a stake in re-establishing electric price stability and affordability in California.</w:t>
      </w:r>
    </w:p>
    <w:p>
      <w:pPr>
        <w:pStyle w:val="standard"/>
        <w:rPr/>
      </w:pPr>
      <w:r>
        <w:rPr/>
        <w:t xml:space="preserve">Nevertheless, based on the comments received concerning the CTP, we will not employ it as a ceiling on all-in prices paid to QFs, inclusive of capacity and energy.  As a device to guide QF pricing reform it is too blunt an instrument.  We have considered the Comments of many QF parties that its application as a price ceiling on payments would be potentially disruptive of established relationships.  We do not have a sufficient factual record to determine how application of the CTP as a price ceiling would interact with existing contractual arrangements.  </w:t>
      </w:r>
    </w:p>
    <w:p>
      <w:pPr>
        <w:pStyle w:val="standard"/>
        <w:rPr/>
      </w:pPr>
      <w:r>
        <w:rPr/>
        <w:t>All commenters representing QFs oppose adoption of a price ceiling.  They argue that the draft decision misinterprets and misapplies the FERC Order.  QF commenters argue that adoption of a cap is inconsistent with PURPA and Section 390.  We disagree.  PURPA itself establishes a “cap” for QF payments at the utility’s full avoided cost.</w:t>
      </w:r>
      <w:r>
        <w:rPr>
          <w:rStyle w:val="FootnoteCharacters"/>
          <w:rStyle w:val="FootnoteReference"/>
        </w:rPr>
        <w:footnoteReference w:id="17"/>
      </w:r>
      <w:r>
        <w:rPr/>
        <w:t xml:space="preserve">  By setting a benchmark for reasonableness, FERC has identified a price level that it believes utilities should be achieving through their purchases.  In this market, utilities own limited amounts of generation themselves and hence reliance on a statutory avoided cost payment structure based on mimicking utility gas purchases makes limited sense.  It is logical to look to how the utility would meet its resource needs and what those resources would cost in order to establish the utility avoided cost.  It would be entirely consistent, in attempting to reconcile PURPA and Section 390, to look to FERC’s guidance about a reasonable price for purchases in establishing an objective for QF payments.  The CDWR portfolio, on which we rely, represents a current survey of the market for long-term supply comparable to that which is offered by QFs.</w:t>
      </w:r>
    </w:p>
    <w:p>
      <w:pPr>
        <w:pStyle w:val="standard"/>
        <w:rPr/>
      </w:pPr>
      <w:r>
        <w:rPr/>
        <w:t>Some QFs argue that because the SRAC price offered may not allow them to cover their operating costs, adoption of a cap represents an unconstitutional taking.  QFs have never been absolutely entitled to a payment to cover their operating costs under any and all circumstances, only to a payment consistent with the utility’s avoided cost.  As we have seen recently in both the gas and electricity markets, over-reliance on spot market purchases can lead to significant volatility in prices.  The Commission has never directed QFs to enter into gas purchase arrangements based on California border indices; this decision is left to QFs.  The fact that a QF may not have protected itself from pricing volatility is not a reason not to establish a cap on QF payments at utility avoided cost.</w:t>
      </w:r>
    </w:p>
    <w:p>
      <w:pPr>
        <w:pStyle w:val="standard"/>
        <w:rPr/>
      </w:pPr>
      <w:r>
        <w:rPr/>
        <w:t>CCC/CAC argue in comments on the draft decision that adoption of a cap would violate the PURPA requirement that QF payments be nondiscriminatory because other sellers in the market might receive higher prices than the cap.  QFs operate under long-term contracts for the entire output of the facility.  To evaluate the discrimination argument, we must resort to contracts with similar duration and purchase commitments.  The CDWR has recently entered into a portfolio of long–term contracts, with terms and conditions in the aggregate much like the ensemble of QF arrangements which the commission deals with on an aggregate basis.  The average portfolio price is $69/MWh for a fully articulated portfolio of resources over a ten year period, $79/MWh over a five year period.  The average portfolio price for the following five years is $61/MWh.</w:t>
      </w:r>
    </w:p>
    <w:p>
      <w:pPr>
        <w:pStyle w:val="Heading1"/>
        <w:spacing w:lineRule="auto" w:line="360"/>
        <w:ind w:hanging="0" w:start="0"/>
        <w:rPr/>
      </w:pPr>
      <w:r>
        <w:rPr/>
        <w:t>Optional Fixed Prices</w:t>
      </w:r>
    </w:p>
    <w:p>
      <w:pPr>
        <w:pStyle w:val="standard"/>
        <w:rPr/>
      </w:pPr>
      <w:r>
        <w:rPr/>
        <w:t xml:space="preserve">Utilities should have a voluntary opportunity to offer QFs long term price stability at levels consistent with recent commitments by the state representing  consumer interests.  As a matter of policy, we believe that utilities purchasing from QFs should make available a pricing option that reflects the costs of the CDWR portfolio on a long-term average basis.  When authorized by the Legislature we will undertake to develop such a pricing option.  As pointed out by EWC in its Comments, we do not know enough about the composition of the CDWR portfolio to structure the option at this time. </w:t>
      </w:r>
    </w:p>
    <w:p>
      <w:pPr>
        <w:pStyle w:val="Heading1"/>
        <w:spacing w:lineRule="auto" w:line="360"/>
        <w:ind w:hanging="0" w:start="0"/>
        <w:rPr/>
      </w:pPr>
      <w:r>
        <w:rPr/>
        <w:t>Payment of QFs Going Forward</w:t>
      </w:r>
    </w:p>
    <w:p>
      <w:pPr>
        <w:pStyle w:val="standard"/>
        <w:rPr/>
      </w:pPr>
      <w:r>
        <w:rPr/>
        <w:t>Energy from QFs is an essential part of the state’s electric supply.  The Commission is aware that ongoing disputes between utilities and their suppliers and creditors has resulted in QFs not being paid, in some cases for months. In view of the other actions we take today regarding increased utility revenues, the utilities have no reason to continue to withhold payment from QFs making energy deliveries to the utilities.</w:t>
      </w:r>
    </w:p>
    <w:p>
      <w:pPr>
        <w:pStyle w:val="standard"/>
        <w:rPr/>
      </w:pPr>
      <w:r>
        <w:rPr/>
        <w:t>Beginning on the effective date of this order and until further order of the Commission, utilities shall pay QFs for energy delivered on or after that date within fifteen days of presentation of an invoice.  The first invoice under this regime may be presented on or after April 15, and QFs shall be permitted to send an invoice every fifteen days thereafter. Prompt payment by the utilities for energy delivery by the QFs given current conditions is key and critical to maintaining energy reliability.  Therefore, if the utilities fail to transmit payment to the QFs within 15 days of the energy deliveries, they shall be subject to a penalty equal to the amount of the payment owed.</w:t>
      </w:r>
    </w:p>
    <w:p>
      <w:pPr>
        <w:pStyle w:val="Heading1"/>
        <w:spacing w:lineRule="auto" w:line="360"/>
        <w:ind w:hanging="0" w:start="0"/>
        <w:rPr/>
      </w:pPr>
      <w:r>
        <w:rPr/>
        <w:t>Requests to Intervene</w:t>
      </w:r>
    </w:p>
    <w:p>
      <w:pPr>
        <w:pStyle w:val="standard"/>
        <w:rPr/>
      </w:pPr>
      <w:r>
        <w:rPr/>
        <w:t xml:space="preserve">On September 12, 2000, CE Generation, LLC (CE) petitioned to intervene for purposes of filing comments on the Phase 1 proposed decision issued on September 5, 2000 in this proceeding.  The assigned ALJ denied that request arguing that CE had constructive notice of the issues through its membership in IEP.  The ALJ provided that CE could participate in other aspects of the proceeding if it appeared at the appropriate public hearing to enter an appearance.  No subsequent hearing has occurred.  On December 5, 2000, CE again petitioned to intervene.  We will grant CE’s petition with respect to the outstanding petition to modify the Transition Formula and Phase 2, because deliberation on these issues is either in the early stages (and therefore there is no prejudice to CE’s participation) or because these are issues which were not originally within the scope of the proceeding and therefore no constructive notice occurred.  However, we continue to deny CE’s request to participate in Phase 1 aspects of this proceeding. </w:t>
      </w:r>
    </w:p>
    <w:p>
      <w:pPr>
        <w:pStyle w:val="standard"/>
        <w:rPr/>
      </w:pPr>
      <w:r>
        <w:rPr/>
        <w:t xml:space="preserve">Tractebel Power, Inc. (Tractebel) filed for leave to intervene on December 1, 2000.  Tractebel owns Ripon Cogeneration, Inc., a holding company for two cogeneration facilities in California.  Tractebel Energy Marketing, Inc. (TEMI) filed for leave to intervene on December 11, 2000.  As we ruled for CE, we will grant Tractebel and TEMI’s petitions to intervene with respect to commenting on the petition to modify the Transition Formula and related decisions, and Phase 2.  However, this participation does not extend to commenting or participating on issues established as Phase 1 issues in the Scoping Memo for this proceeding.  </w:t>
      </w:r>
    </w:p>
    <w:p>
      <w:pPr>
        <w:pStyle w:val="Heading1"/>
        <w:spacing w:lineRule="auto" w:line="360"/>
        <w:ind w:hanging="0" w:start="0"/>
        <w:rPr/>
      </w:pPr>
      <w:r>
        <w:rPr/>
        <w:t>Comments on Draft Decision</w:t>
      </w:r>
    </w:p>
    <w:p>
      <w:pPr>
        <w:pStyle w:val="standard"/>
        <w:rPr/>
      </w:pPr>
      <w:r>
        <w:rPr/>
        <w:t xml:space="preserve">Rule 77.7(f)(9) provides for reduction or waiver of the 30-day period for public review and comment when public necessity requires such reduction.  We must balance whether the public necessity of adopting an order outweighs the public interest in having the full 30-day period for review and comment.  We are convinced that the petition of SCE as expanded falls under Rule 77.7(f)(9), and for that reason, we established a shortened period for comments on the draft decision.  </w:t>
      </w:r>
    </w:p>
    <w:p>
      <w:pPr>
        <w:pStyle w:val="standard"/>
        <w:rPr/>
      </w:pPr>
      <w:r>
        <w:rPr/>
        <w:t>On January 16, 2001, timely comments were received by SCE, PG&amp;E, SDG&amp;E, jointly by Caithness, FPL, and EWC (Caithness/FPL/EWC), IEP, Watson, Coastal, jointly by CCC and CAC (CCC/CAC), jointly by Tractebel and TEMI (Tractebel/TEMI), Calpine Corporation (Calpine), and CE.  No reply comments were allowed.</w:t>
      </w:r>
    </w:p>
    <w:p>
      <w:pPr>
        <w:pStyle w:val="standard"/>
        <w:rPr/>
      </w:pPr>
      <w:r>
        <w:rPr/>
        <w:t>With respect to modifications to the factor and adoption of the Malin index as a replacement for Topock in the Transition Formula, parties generally reiterate comments made in prior pleadings.  Errors in the factor formula were identified and changes have been made as a result.  PG&amp;E recommends that we adopt the Malin index only when its use would result in a price lower than use of Topock. SDG&amp;E asks that we modify its factor in the same way that we modify SCE’s factor.</w:t>
      </w:r>
    </w:p>
    <w:p>
      <w:pPr>
        <w:pStyle w:val="standard"/>
        <w:rPr/>
      </w:pPr>
      <w:r>
        <w:rPr/>
        <w:t>In general, parties’ comments focus on the draft decision’s proposal of a ceiling price for payments to QFs.  Commenters representing QFs unanimously oppose adoption of a price ceiling as inconsistent with PURPA, Section 390, and the December 15, 2000 FERC Order.  SDG&amp;E also opposes adoption of a price Transition comparing the imposition of a Transition to setting a cap on retail rates without addressing wholesale pricing issues.  PG&amp;E and SCE support adoption of a cap.  We have made modifications to respond to comments throughout the decision.</w:t>
      </w:r>
    </w:p>
    <w:p>
      <w:pPr>
        <w:pStyle w:val="Heading1"/>
        <w:spacing w:lineRule="auto" w:line="360"/>
        <w:ind w:hanging="0" w:start="0"/>
        <w:rPr/>
      </w:pPr>
      <w:r>
        <w:rPr/>
        <w:t>Comments on Revised Draft Decision</w:t>
      </w:r>
    </w:p>
    <w:p>
      <w:pPr>
        <w:pStyle w:val="standard"/>
        <w:rPr/>
      </w:pPr>
      <w:r>
        <w:rPr/>
        <w:t xml:space="preserve">A Revised Draft Decision was issued on March 21, 2001 for an additional opportunity to comment. Timely comments were received from SCE, PG&amp;E, SDG&amp;E, jointly by Catihness and FPL (Caithness/FPL), EWC, IEP, CCC, CAC, Tractebel,  Calpine, CE, The Utility Reform Network (TURN), TriDam Power Authority, the County of Los Angeles, Dynamis Incorporated, and Sunray Energy Inc.  Comments centered almost entirely on the CTP, which virtually all parties understand as a cap on monthly QF payments.  </w:t>
      </w:r>
    </w:p>
    <w:p>
      <w:pPr>
        <w:pStyle w:val="standard"/>
        <w:rPr/>
      </w:pPr>
      <w:r>
        <w:rPr/>
        <w:t>Parties also comment on the structure and operation of the long-term price offers based on the CDWR portfolio price.  Utility commenters addressed the mechanics of the payment order provision.  In response to comments, we have made the modifications to the Revised Draft Decision throughout the body of the decision.  The rationale for the remaining provisions of the revised draft decision are as expressed in the body of the decision.  The changes we have made are: (1) withdrawing the long term price offers; (2) limiting the scope of the CTP to provide a reasonableness benchmark and not applying it as a ceiling on payments; (3) the payment obligation of the utilities will be relaxed to the extent that utilities will pay invoices within 15 days of receipt and QFs may present invoices every 15 days.</w:t>
      </w:r>
    </w:p>
    <w:p>
      <w:pPr>
        <w:pStyle w:val="standard"/>
        <w:rPr/>
      </w:pPr>
      <w:r>
        <w:rPr/>
        <w:t xml:space="preserve">The effect of these modifications will be that the current transition formula, as modified in the text of the decision, will remain in place.  April QF SRAC postings for Edison and SDG&amp;E will be predicated on gas costs reflecting the Malin border price and intrastate transportation.  The May posting should reflect the outcome of the workshop on gas prices at the California border and a subsequent order of the Commission.  June postings should reflect the cumulative changes to the transition formula decided after presentation of testimony and, if necessary, hearings.  </w:t>
      </w:r>
    </w:p>
    <w:p>
      <w:pPr>
        <w:pStyle w:val="standard"/>
        <w:rPr/>
      </w:pPr>
      <w:r>
        <w:rPr/>
        <w:t xml:space="preserve">As a result of these revisions a QF can expect to be paid existing capacity payments and energy payments calculated in accordance with the transition formula approved by the Commission pursuant to PU Code Section 390(b) as modified, and all applicable contract terms.  This does not constitute a significant pricing reform but it does take us part of the way out of the impasse that has developed and should prove less challenging to the expectations of the QFs than the Revised Draft Decision would have been.  </w:t>
      </w:r>
    </w:p>
    <w:p>
      <w:pPr>
        <w:pStyle w:val="dummy"/>
        <w:rPr/>
      </w:pPr>
      <w:r>
        <w:rPr/>
        <w:t>Findings of Fact</w:t>
      </w:r>
    </w:p>
    <w:p>
      <w:pPr>
        <w:pStyle w:val="num1"/>
        <w:numPr>
          <w:ilvl w:val="0"/>
          <w:numId w:val="2"/>
        </w:numPr>
        <w:rPr/>
      </w:pPr>
      <w:r>
        <w:rPr/>
        <w:t>Avoided cost postings are based on the Transition Formula adopted in D.96-12-028, which incorporates various California natural gas border price indices.</w:t>
      </w:r>
    </w:p>
    <w:p>
      <w:pPr>
        <w:pStyle w:val="num1"/>
        <w:numPr>
          <w:ilvl w:val="0"/>
          <w:numId w:val="2"/>
        </w:numPr>
        <w:rPr/>
      </w:pPr>
      <w:r>
        <w:rPr/>
        <w:t>Each Transition Formula contains a utility specific “factor” designed to compare historical SRAC prices to historical gas border prices for that utility.</w:t>
      </w:r>
    </w:p>
    <w:p>
      <w:pPr>
        <w:pStyle w:val="num1"/>
        <w:numPr>
          <w:ilvl w:val="0"/>
          <w:numId w:val="2"/>
        </w:numPr>
        <w:rPr/>
      </w:pPr>
      <w:r>
        <w:rPr/>
        <w:t>The Commission has filed a complaint (Docket No. RP00-241-000) at FERC seeking recision of certain contracts entered into by El Paso Natural Gas Company and its affiliates.</w:t>
      </w:r>
    </w:p>
    <w:p>
      <w:pPr>
        <w:pStyle w:val="num1"/>
        <w:numPr>
          <w:ilvl w:val="0"/>
          <w:numId w:val="2"/>
        </w:numPr>
        <w:rPr/>
      </w:pPr>
      <w:r>
        <w:rPr/>
        <w:t>The starting energy price for the Transition Formula was calculated using 1995 values for the incremental system heat rate, average border gas prices and average interstate and intrastate gas transportation costs (collectively, the burnertip gas price), and a variable operations and maintenance adder.</w:t>
      </w:r>
    </w:p>
    <w:p>
      <w:pPr>
        <w:pStyle w:val="num1"/>
        <w:numPr>
          <w:ilvl w:val="0"/>
          <w:numId w:val="2"/>
        </w:numPr>
        <w:rPr/>
      </w:pPr>
      <w:r>
        <w:rPr/>
        <w:t>D.96-12-028 set the factor for SCE at 0.7067.</w:t>
      </w:r>
    </w:p>
    <w:p>
      <w:pPr>
        <w:pStyle w:val="num1"/>
        <w:numPr>
          <w:ilvl w:val="0"/>
          <w:numId w:val="2"/>
        </w:numPr>
        <w:rPr/>
      </w:pPr>
      <w:r>
        <w:rPr/>
        <w:t>The factor is the product of a linear regression comparing historical SRAC prices and historical gas prices at the California border.</w:t>
      </w:r>
    </w:p>
    <w:p>
      <w:pPr>
        <w:pStyle w:val="num1"/>
        <w:numPr>
          <w:ilvl w:val="0"/>
          <w:numId w:val="2"/>
        </w:numPr>
        <w:rPr/>
      </w:pPr>
      <w:r>
        <w:rPr/>
        <w:t>The facts relied upon in SCE’s Petition are verifiable by taking official notice of the tariffs of Southern California Gas as approved by the Commission.</w:t>
      </w:r>
    </w:p>
    <w:p>
      <w:pPr>
        <w:pStyle w:val="num2"/>
        <w:numPr>
          <w:ilvl w:val="0"/>
          <w:numId w:val="2"/>
        </w:numPr>
        <w:rPr/>
      </w:pPr>
      <w:r>
        <w:rPr/>
        <w:t>The index methodology was developed during a time that utilities owned gas-fired generating facilities and operated those plants on the margin.</w:t>
      </w:r>
    </w:p>
    <w:p>
      <w:pPr>
        <w:pStyle w:val="num2"/>
        <w:numPr>
          <w:ilvl w:val="0"/>
          <w:numId w:val="2"/>
        </w:numPr>
        <w:rPr/>
      </w:pPr>
      <w:r>
        <w:rPr/>
        <w:t>To meet incremental electricity needs, SCE no longer turns to its own generating facilities as it did in the past, but instead turns to the electricity market.</w:t>
      </w:r>
    </w:p>
    <w:p>
      <w:pPr>
        <w:pStyle w:val="num2"/>
        <w:numPr>
          <w:ilvl w:val="0"/>
          <w:numId w:val="2"/>
        </w:numPr>
        <w:rPr/>
      </w:pPr>
      <w:r>
        <w:rPr/>
        <w:t>With the exception of the IER and variable O&amp;M, all elements of the monthly factor formula can be calculated based on tariffed rates or published indices.</w:t>
      </w:r>
    </w:p>
    <w:p>
      <w:pPr>
        <w:pStyle w:val="num2"/>
        <w:numPr>
          <w:ilvl w:val="0"/>
          <w:numId w:val="2"/>
        </w:numPr>
        <w:rPr/>
      </w:pPr>
      <w:r>
        <w:rPr/>
        <w:t>We do not have a sufficient record to update the IER or variable O&amp;M components.</w:t>
      </w:r>
    </w:p>
    <w:p>
      <w:pPr>
        <w:pStyle w:val="num2"/>
        <w:numPr>
          <w:ilvl w:val="0"/>
          <w:numId w:val="2"/>
        </w:numPr>
        <w:rPr/>
      </w:pPr>
      <w:r>
        <w:rPr/>
        <w:t>No party has proposed that PG&amp;E or SDG&amp;E factors require updating.</w:t>
      </w:r>
    </w:p>
    <w:p>
      <w:pPr>
        <w:pStyle w:val="num2"/>
        <w:numPr>
          <w:ilvl w:val="0"/>
          <w:numId w:val="2"/>
        </w:numPr>
        <w:rPr/>
      </w:pPr>
      <w:r>
        <w:rPr/>
        <w:t>The gas prices used to calculate SCE and SDG&amp;E short-run avoided costs rely on published border prices for gas traded at Topock.</w:t>
      </w:r>
    </w:p>
    <w:p>
      <w:pPr>
        <w:pStyle w:val="num2"/>
        <w:numPr>
          <w:ilvl w:val="0"/>
          <w:numId w:val="2"/>
        </w:numPr>
        <w:rPr/>
      </w:pPr>
      <w:r>
        <w:rPr/>
        <w:t>In a given month, a utility’s avoided cost of fuel will differ from the proxy relied upon in the Transition Formula.</w:t>
      </w:r>
    </w:p>
    <w:p>
      <w:pPr>
        <w:pStyle w:val="num2"/>
        <w:numPr>
          <w:ilvl w:val="0"/>
          <w:numId w:val="2"/>
        </w:numPr>
        <w:ind w:hanging="0" w:start="90" w:end="0"/>
        <w:rPr/>
      </w:pPr>
      <w:r>
        <w:rPr/>
        <w:t>In 93 FERC ¶ 61,294 (December 15, 2000), FERC found that California’s market was yielding unjust and unreasonable rates</w:t>
      </w:r>
    </w:p>
    <w:p>
      <w:pPr>
        <w:pStyle w:val="num2"/>
        <w:numPr>
          <w:ilvl w:val="0"/>
          <w:numId w:val="2"/>
        </w:numPr>
        <w:ind w:hanging="0" w:start="90" w:end="0"/>
        <w:rPr/>
      </w:pPr>
      <w:r>
        <w:rPr/>
        <w:t>In 93 FERC ¶ 61,294 (December 15, 2000), FERC found that an average of historical utility embedded cost of generation would represent an appropriate benchmark for determining the prudency and reasonableness of forward contracts.</w:t>
      </w:r>
    </w:p>
    <w:p>
      <w:pPr>
        <w:pStyle w:val="num2"/>
        <w:numPr>
          <w:ilvl w:val="0"/>
          <w:numId w:val="2"/>
        </w:numPr>
        <w:ind w:hanging="0" w:start="90" w:end="0"/>
        <w:rPr/>
      </w:pPr>
      <w:r>
        <w:rPr/>
        <w:t>$67.45/MWh represents an average of historical utility embedded cost of generation prior to restructuring.</w:t>
      </w:r>
    </w:p>
    <w:p>
      <w:pPr>
        <w:pStyle w:val="num2"/>
        <w:numPr>
          <w:ilvl w:val="0"/>
          <w:numId w:val="2"/>
        </w:numPr>
        <w:ind w:hanging="0" w:start="90" w:end="0"/>
        <w:rPr/>
      </w:pPr>
      <w:r>
        <w:rPr>
          <w:rFonts w:eastAsia="Palatino"/>
        </w:rPr>
        <w:t xml:space="preserve"> </w:t>
      </w:r>
      <w:r>
        <w:rPr/>
        <w:t>The California Department of Water Resources has purchased energy in a fully shaped portfolio of contracts with average prices of $79/MWh for the period through May 2006, $61/MWh for the period between May 2006 and 2011.  The ten-year average is $69/MWh.</w:t>
      </w:r>
    </w:p>
    <w:p>
      <w:pPr>
        <w:pStyle w:val="num2"/>
        <w:numPr>
          <w:ilvl w:val="0"/>
          <w:numId w:val="2"/>
        </w:numPr>
        <w:ind w:hanging="0" w:start="90" w:end="0"/>
        <w:rPr/>
      </w:pPr>
      <w:r>
        <w:rPr/>
        <w:t>The Federal Energy Regulatory Commission (FERC) has found that $74 is a reasonable price for long term energy in its Order Directing Remedies for California Wholesale Electric Markets, issued December 15, 2000.</w:t>
      </w:r>
    </w:p>
    <w:p>
      <w:pPr>
        <w:pStyle w:val="num2"/>
        <w:numPr>
          <w:ilvl w:val="0"/>
          <w:numId w:val="2"/>
        </w:numPr>
        <w:ind w:hanging="0" w:start="180" w:end="0"/>
        <w:rPr/>
      </w:pPr>
      <w:r>
        <w:rPr/>
        <w:t>QFs have not been paid for several months for energy delivered during November 2000 through March 2001 by SCE and PG&amp;E.</w:t>
      </w:r>
    </w:p>
    <w:p>
      <w:pPr>
        <w:pStyle w:val="dummy"/>
        <w:rPr/>
      </w:pPr>
      <w:r>
        <w:rPr/>
        <w:t>Conclusions of Law</w:t>
      </w:r>
    </w:p>
    <w:p>
      <w:pPr>
        <w:pStyle w:val="num1"/>
        <w:numPr>
          <w:ilvl w:val="0"/>
          <w:numId w:val="4"/>
        </w:numPr>
        <w:rPr/>
      </w:pPr>
      <w:r>
        <w:rPr/>
        <w:t>Modification of the factor in the manner proposed by SCE more closely ties the resulting avoided costs to the IER methodology used prior to D.96-12-028.</w:t>
      </w:r>
    </w:p>
    <w:p>
      <w:pPr>
        <w:pStyle w:val="num1"/>
        <w:numPr>
          <w:ilvl w:val="0"/>
          <w:numId w:val="4"/>
        </w:numPr>
        <w:rPr/>
      </w:pPr>
      <w:r>
        <w:rPr/>
        <w:t>It would be unfair to modify any component of the Transition Formula based on changes to only one underlying component.</w:t>
      </w:r>
    </w:p>
    <w:p>
      <w:pPr>
        <w:pStyle w:val="num1"/>
        <w:numPr>
          <w:ilvl w:val="0"/>
          <w:numId w:val="4"/>
        </w:numPr>
        <w:rPr/>
      </w:pPr>
      <w:r>
        <w:rPr/>
        <w:t>The Petition should not be rejected on the basis of lack of declarations.</w:t>
      </w:r>
    </w:p>
    <w:p>
      <w:pPr>
        <w:pStyle w:val="num1"/>
        <w:numPr>
          <w:ilvl w:val="0"/>
          <w:numId w:val="4"/>
        </w:numPr>
        <w:rPr/>
      </w:pPr>
      <w:r>
        <w:rPr/>
        <w:t>There are no disputed facts at issue regarding SCE’s proposed modification to the factor that require evidentiary hearings.</w:t>
      </w:r>
    </w:p>
    <w:p>
      <w:pPr>
        <w:pStyle w:val="num1"/>
        <w:numPr>
          <w:ilvl w:val="0"/>
          <w:numId w:val="4"/>
        </w:numPr>
        <w:rPr/>
      </w:pPr>
      <w:r>
        <w:rPr/>
        <w:t>The Commission’s invitation to parties in D.96-12-028 to petition to modify the border indices does not preclude parties from seeking modification of D.96</w:t>
        <w:noBreakHyphen/>
        <w:t>12-028 on any other grounds.</w:t>
      </w:r>
    </w:p>
    <w:p>
      <w:pPr>
        <w:pStyle w:val="num1"/>
        <w:numPr>
          <w:ilvl w:val="0"/>
          <w:numId w:val="4"/>
        </w:numPr>
        <w:rPr/>
      </w:pPr>
      <w:r>
        <w:rPr/>
        <w:t>Section 1708 provides the Commission with the discretion to “rescind, alter, or amend any order or decision made by it.”</w:t>
      </w:r>
    </w:p>
    <w:p>
      <w:pPr>
        <w:pStyle w:val="num2"/>
        <w:numPr>
          <w:ilvl w:val="0"/>
          <w:numId w:val="4"/>
        </w:numPr>
        <w:rPr/>
      </w:pPr>
      <w:r>
        <w:rPr/>
        <w:t>The Transition Formula can be updated periodically.</w:t>
      </w:r>
    </w:p>
    <w:p>
      <w:pPr>
        <w:pStyle w:val="num2"/>
        <w:numPr>
          <w:ilvl w:val="0"/>
          <w:numId w:val="4"/>
        </w:numPr>
        <w:rPr/>
      </w:pPr>
      <w:r>
        <w:rPr/>
        <w:t>All elements of the proposed monthly factor, not just the intrastate gas cost component, should be updated.</w:t>
      </w:r>
    </w:p>
    <w:p>
      <w:pPr>
        <w:pStyle w:val="num2"/>
        <w:numPr>
          <w:ilvl w:val="0"/>
          <w:numId w:val="4"/>
        </w:numPr>
        <w:rPr/>
      </w:pPr>
      <w:r>
        <w:rPr/>
        <w:t>SCE’s fixed factor should be converted to a formula, updated periodically, effective with the next regularly scheduled SRAC posting.</w:t>
      </w:r>
    </w:p>
    <w:p>
      <w:pPr>
        <w:pStyle w:val="num2"/>
        <w:numPr>
          <w:ilvl w:val="0"/>
          <w:numId w:val="4"/>
        </w:numPr>
        <w:rPr/>
      </w:pPr>
      <w:r>
        <w:rPr/>
        <w:t>Changes to the factor should be subject to possible adjustment based on our review of the IER and variable O&amp;M components.</w:t>
      </w:r>
    </w:p>
    <w:p>
      <w:pPr>
        <w:pStyle w:val="num2"/>
        <w:numPr>
          <w:ilvl w:val="0"/>
          <w:numId w:val="4"/>
        </w:numPr>
        <w:rPr/>
      </w:pPr>
      <w:r>
        <w:rPr/>
        <w:t>Parties should serve concurrent opening and reply testimony on how to calculate the incremental system heat rate and variable O&amp;M for SCE on May 1 and May 21 respectively.</w:t>
      </w:r>
    </w:p>
    <w:p>
      <w:pPr>
        <w:pStyle w:val="num2"/>
        <w:numPr>
          <w:ilvl w:val="0"/>
          <w:numId w:val="4"/>
        </w:numPr>
        <w:rPr/>
      </w:pPr>
      <w:r>
        <w:rPr/>
        <w:t>FERC has the ultimate authority and responsibility to provide relief to California ratepayers should it concur with our complaint that market power abuse has artificially raised gas prices at the California border.</w:t>
      </w:r>
    </w:p>
    <w:p>
      <w:pPr>
        <w:pStyle w:val="num2"/>
        <w:numPr>
          <w:ilvl w:val="0"/>
          <w:numId w:val="4"/>
        </w:numPr>
        <w:rPr/>
      </w:pPr>
      <w:r>
        <w:rPr/>
        <w:t>The Topock index is no longer sufficiently robust to be utilized in the Transition Formula.</w:t>
      </w:r>
    </w:p>
    <w:p>
      <w:pPr>
        <w:pStyle w:val="num2"/>
        <w:numPr>
          <w:ilvl w:val="0"/>
          <w:numId w:val="4"/>
        </w:numPr>
        <w:rPr/>
      </w:pPr>
      <w:r>
        <w:rPr/>
        <w:t>Over time, setting avoided cost based on a robust border price index can reasonably represent gas procurement costs under a portfolio procurement strategy and therefore will generally meet the requirements of PURPA.</w:t>
      </w:r>
    </w:p>
    <w:p>
      <w:pPr>
        <w:pStyle w:val="num2"/>
        <w:numPr>
          <w:ilvl w:val="0"/>
          <w:numId w:val="4"/>
        </w:numPr>
        <w:rPr/>
      </w:pPr>
      <w:r>
        <w:rPr/>
        <w:t>Identifying the appropriate gas price indices and finding an appropriate method of averaging them for purposes of the Transition Formula should be addressed in a workshop and report by the Energy Division.</w:t>
      </w:r>
    </w:p>
    <w:p>
      <w:pPr>
        <w:pStyle w:val="num2"/>
        <w:numPr>
          <w:ilvl w:val="0"/>
          <w:numId w:val="4"/>
        </w:numPr>
        <w:rPr/>
      </w:pPr>
      <w:r>
        <w:rPr/>
        <w:t>To fulfill our obligations under PURPA that payments to QFs be just and reasonable, we should retain the Transition Formula as our primary QF pricing methodology.</w:t>
      </w:r>
    </w:p>
    <w:p>
      <w:pPr>
        <w:pStyle w:val="num2"/>
        <w:numPr>
          <w:ilvl w:val="0"/>
          <w:numId w:val="4"/>
        </w:numPr>
        <w:rPr/>
      </w:pPr>
      <w:r>
        <w:rPr>
          <w:rFonts w:eastAsia="Palatino"/>
        </w:rPr>
        <w:t xml:space="preserve"> </w:t>
      </w:r>
      <w:r>
        <w:rPr/>
        <w:t>It is reasonable to establish a Consumer Transition Price as a benchmark for prices consistent with the California Department of Water Resources portfolio.</w:t>
      </w:r>
    </w:p>
    <w:p>
      <w:pPr>
        <w:pStyle w:val="num2"/>
        <w:numPr>
          <w:ilvl w:val="0"/>
          <w:numId w:val="4"/>
        </w:numPr>
        <w:rPr/>
      </w:pPr>
      <w:r>
        <w:rPr/>
        <w:t>We should grant the petitions of CE, Tractebel, and TEMI to intervene with respect to the petition to modify the Transition Formula and Phase 2.  However, this participation should not extend to commenting or participating on issues established as Phase 1 issues in the Scoping Memo for this proceeding.</w:t>
      </w:r>
    </w:p>
    <w:p>
      <w:pPr>
        <w:pStyle w:val="num2"/>
        <w:numPr>
          <w:ilvl w:val="0"/>
          <w:numId w:val="4"/>
        </w:numPr>
        <w:rPr/>
      </w:pPr>
      <w:r>
        <w:rPr/>
        <w:t>Pursuant to Rule 77.7(f)(9), the public review and comment period has been shortened.</w:t>
      </w:r>
    </w:p>
    <w:p>
      <w:pPr>
        <w:pStyle w:val="num2"/>
        <w:numPr>
          <w:ilvl w:val="0"/>
          <w:numId w:val="4"/>
        </w:numPr>
        <w:rPr/>
      </w:pPr>
      <w:r>
        <w:rPr/>
        <w:t>Utility payments to QFs who have delivered energy on a timely basis going forward constitute adequate service.</w:t>
      </w:r>
    </w:p>
    <w:p>
      <w:pPr>
        <w:pStyle w:val="num2"/>
        <w:numPr>
          <w:ilvl w:val="0"/>
          <w:numId w:val="4"/>
        </w:numPr>
        <w:rPr/>
      </w:pPr>
      <w:r>
        <w:rPr/>
        <w:t>Utilities should pay for energy delivered on a going forward basis within 15 days of receipt of an invoice.  Failure to make payments constitutes inadequate service and is subject to penalty.</w:t>
      </w:r>
    </w:p>
    <w:p>
      <w:pPr>
        <w:pStyle w:val="num2"/>
        <w:numPr>
          <w:ilvl w:val="0"/>
          <w:numId w:val="4"/>
        </w:numPr>
        <w:rPr/>
      </w:pPr>
      <w:r>
        <w:rPr/>
        <w:t>An appropriate penalty is a fine in the amount owing to the QF for energy delivered and not paid for by the utility.</w:t>
      </w:r>
    </w:p>
    <w:p>
      <w:pPr>
        <w:pStyle w:val="num2"/>
        <w:numPr>
          <w:ilvl w:val="0"/>
          <w:numId w:val="0"/>
        </w:numPr>
        <w:ind w:hanging="0" w:start="0"/>
        <w:rPr/>
      </w:pPr>
      <w:r>
        <w:rPr/>
      </w:r>
    </w:p>
    <w:p>
      <w:pPr>
        <w:pStyle w:val="mainex"/>
        <w:keepNext w:val="true"/>
        <w:keepLines/>
        <w:spacing w:lineRule="auto" w:line="360" w:before="0" w:after="120"/>
        <w:rPr/>
      </w:pPr>
      <w:r>
        <w:rPr/>
        <w:t>ORDER</w:t>
      </w:r>
    </w:p>
    <w:p>
      <w:pPr>
        <w:pStyle w:val="standard"/>
        <w:keepNext w:val="true"/>
        <w:keepLines/>
        <w:rPr/>
      </w:pPr>
      <w:r>
        <w:rPr/>
        <w:t>Therefore</w:t>
      </w:r>
      <w:r>
        <w:rPr>
          <w:b/>
        </w:rPr>
        <w:t>, IT IS ORDERED</w:t>
      </w:r>
      <w:r>
        <w:rPr/>
        <w:t xml:space="preserve"> that:</w:t>
      </w:r>
    </w:p>
    <w:p>
      <w:pPr>
        <w:pStyle w:val="num1"/>
        <w:numPr>
          <w:ilvl w:val="0"/>
          <w:numId w:val="3"/>
        </w:numPr>
        <w:rPr/>
      </w:pPr>
      <w:r>
        <w:rPr/>
        <w:t>The factor adopted for Southern California Edison Company (SCE) in  Decision (D.) 96-12-028, Attachment 1, shall be modified to a calculation where:</w:t>
      </w:r>
    </w:p>
    <w:p>
      <w:pPr>
        <w:pStyle w:val="standard"/>
        <w:spacing w:lineRule="auto" w:line="240"/>
        <w:rPr/>
      </w:pPr>
      <w:r>
        <w:rPr/>
        <w:t>Factor =</w:t>
        <w:tab/>
      </w:r>
      <w:r>
        <w:rPr>
          <w:u w:val="single"/>
        </w:rPr>
        <w:t>(((IER * (GP</w:t>
      </w:r>
      <w:r>
        <w:rPr>
          <w:u w:val="single"/>
          <w:vertAlign w:val="subscript"/>
        </w:rPr>
        <w:t>N</w:t>
      </w:r>
      <w:r>
        <w:rPr>
          <w:u w:val="single"/>
        </w:rPr>
        <w:t xml:space="preserve"> + GT</w:t>
      </w:r>
      <w:r>
        <w:rPr>
          <w:u w:val="single"/>
          <w:vertAlign w:val="subscript"/>
        </w:rPr>
        <w:t>N</w:t>
      </w:r>
      <w:r>
        <w:rPr>
          <w:u w:val="single"/>
        </w:rPr>
        <w:t>))/10,000) + O&amp;M) – Pbase</w:t>
      </w:r>
    </w:p>
    <w:p>
      <w:pPr>
        <w:pStyle w:val="standard"/>
        <w:spacing w:lineRule="auto" w:line="240"/>
        <w:rPr/>
      </w:pPr>
      <w:r>
        <w:rPr/>
        <w:tab/>
        <w:tab/>
        <w:t>Pbase * ((GP</w:t>
      </w:r>
      <w:r>
        <w:rPr>
          <w:vertAlign w:val="subscript"/>
        </w:rPr>
        <w:t>N</w:t>
      </w:r>
      <w:r>
        <w:rPr/>
        <w:t xml:space="preserve"> – GP</w:t>
      </w:r>
      <w:r>
        <w:rPr>
          <w:vertAlign w:val="subscript"/>
        </w:rPr>
        <w:t>base</w:t>
      </w:r>
      <w:r>
        <w:rPr/>
        <w:t>)/GP</w:t>
      </w:r>
      <w:r>
        <w:rPr>
          <w:vertAlign w:val="subscript"/>
        </w:rPr>
        <w:t>base</w:t>
      </w:r>
      <w:r>
        <w:rPr/>
        <w:t>)</w:t>
      </w:r>
    </w:p>
    <w:p>
      <w:pPr>
        <w:pStyle w:val="standard"/>
        <w:spacing w:lineRule="auto" w:line="240"/>
        <w:rPr/>
      </w:pPr>
      <w:r>
        <w:rPr/>
      </w:r>
    </w:p>
    <w:p>
      <w:pPr>
        <w:pStyle w:val="num1"/>
        <w:numPr>
          <w:ilvl w:val="0"/>
          <w:numId w:val="3"/>
        </w:numPr>
        <w:rPr/>
      </w:pPr>
      <w:r>
        <w:rPr/>
        <w:t>Pbase and GP</w:t>
      </w:r>
      <w:r>
        <w:rPr>
          <w:vertAlign w:val="subscript"/>
        </w:rPr>
        <w:t>base</w:t>
      </w:r>
      <w:r>
        <w:rPr/>
        <w:t xml:space="preserve"> shall remain fixed as set forth in D.96-12-028, Attachment 1; all other factor inputs shall be updated periodically as subsequently ordered by this Commission effective with the next regularly scheduled short-run avoided cost posting.</w:t>
      </w:r>
    </w:p>
    <w:p>
      <w:pPr>
        <w:pStyle w:val="num1"/>
        <w:numPr>
          <w:ilvl w:val="0"/>
          <w:numId w:val="3"/>
        </w:numPr>
        <w:rPr/>
      </w:pPr>
      <w:r>
        <w:rPr/>
        <w:t>Parties shall serve concurrent opening and reply testimony on how to calculate the incremental system heat rate and variable operations and maintenance (O&amp;M) for SCE on May 1 and May 21, respectively.</w:t>
      </w:r>
    </w:p>
    <w:p>
      <w:pPr>
        <w:pStyle w:val="num1"/>
        <w:numPr>
          <w:ilvl w:val="0"/>
          <w:numId w:val="3"/>
        </w:numPr>
        <w:rPr/>
      </w:pPr>
      <w:r>
        <w:rPr/>
        <w:t>Until such time as the Commission adopts a revised incremental system heat rate or variable O&amp;M component for SCE, SCE shall use 9,140 Btu/kWh and 0.2¢/kWh as inputs to the monthly factor formula.</w:t>
      </w:r>
    </w:p>
    <w:p>
      <w:pPr>
        <w:pStyle w:val="num1"/>
        <w:numPr>
          <w:ilvl w:val="0"/>
          <w:numId w:val="3"/>
        </w:numPr>
        <w:rPr/>
      </w:pPr>
      <w:r>
        <w:rPr/>
        <w:t>Revisions to the incremental system heat rate and variable O&amp;M for SCE that increase the monthly factor shall be effective with the first posting that includes the monthly factor.</w:t>
      </w:r>
    </w:p>
    <w:p>
      <w:pPr>
        <w:pStyle w:val="num1"/>
        <w:numPr>
          <w:ilvl w:val="0"/>
          <w:numId w:val="3"/>
        </w:numPr>
        <w:rPr/>
      </w:pPr>
      <w:r>
        <w:rPr/>
        <w:t>Revisions to the incremental system heat rate and variable O&amp;M for SCE that decrease the monthly factor shall be effective with the first posting following the decision that revises those elements.</w:t>
      </w:r>
    </w:p>
    <w:p>
      <w:pPr>
        <w:pStyle w:val="num1"/>
        <w:numPr>
          <w:ilvl w:val="0"/>
          <w:numId w:val="3"/>
        </w:numPr>
        <w:rPr/>
      </w:pPr>
      <w:r>
        <w:rPr/>
        <w:t>The Energy Division shall conduct a workshop on the use of indices of natural gas costs at the California border and report to the commission within 35 days.</w:t>
      </w:r>
    </w:p>
    <w:p>
      <w:pPr>
        <w:pStyle w:val="num1"/>
        <w:numPr>
          <w:ilvl w:val="0"/>
          <w:numId w:val="3"/>
        </w:numPr>
        <w:rPr/>
      </w:pPr>
      <w:r>
        <w:rPr/>
        <w:t xml:space="preserve">Payments to qualifying facilities paid short run avoided cost or based on the short run avoided cost formula, shall be made consistent with the Transition Formula as modified today. </w:t>
      </w:r>
    </w:p>
    <w:p>
      <w:pPr>
        <w:pStyle w:val="num2"/>
        <w:numPr>
          <w:ilvl w:val="0"/>
          <w:numId w:val="3"/>
        </w:numPr>
        <w:rPr>
          <w:b/>
          <w:bCs/>
        </w:rPr>
      </w:pPr>
      <w:r>
        <w:rPr>
          <w:b/>
          <w:bCs/>
        </w:rPr>
        <w:t>The Topock index adopted in D.96-12-028 shall be replaced with a simple average of Malin, Oregon indices plus Pacific Gas and Electric Company’s (PG&amp;E) G-AAOFF (Redwood to Off-System Path) tariffed rate effective with the next regularly scheduled avoided cost posting for SCE, PG&amp;E, and San Diego Gas &amp; Electric Company (SDG&amp;E) following the effective date of this decision.</w:t>
      </w:r>
    </w:p>
    <w:p>
      <w:pPr>
        <w:pStyle w:val="num2"/>
        <w:numPr>
          <w:ilvl w:val="0"/>
          <w:numId w:val="3"/>
        </w:numPr>
        <w:rPr/>
      </w:pPr>
      <w:r>
        <w:rPr/>
        <w:t>SCE, PG&amp;E, and SDG&amp;E shall pay QFs for energy deliveries within 15 days of receipt of an invoice from a QF.  QFs may present an invoice every fifteen days.</w:t>
      </w:r>
    </w:p>
    <w:p>
      <w:pPr>
        <w:pStyle w:val="num2"/>
        <w:numPr>
          <w:ilvl w:val="0"/>
          <w:numId w:val="3"/>
        </w:numPr>
        <w:rPr/>
      </w:pPr>
      <w:r>
        <w:rPr/>
        <w:t>A failure by Southern California Edison, Pacific Gas and Electric Company and San Diego Gas and Electric Company to pay a QF for energy within 15 days of receipt of an invoice will result in a fine in the amount owed to the QF.</w:t>
      </w:r>
    </w:p>
    <w:p>
      <w:pPr>
        <w:pStyle w:val="num2"/>
        <w:numPr>
          <w:ilvl w:val="0"/>
          <w:numId w:val="3"/>
        </w:numPr>
        <w:rPr/>
      </w:pPr>
      <w:r>
        <w:rPr/>
        <w:t>The petitions of CE Generation, LLC, Tractebel Power, Inc., and Tractebel Energy Marketing, Inc. to intervene with respect to the petition to modify the Transition Formula and Phase 2 are granted.  However, this participation shall not extend to commenting or participating on issues established as Phase 1 issues in the Scoping Memo for this proceeding.</w:t>
      </w:r>
    </w:p>
    <w:p>
      <w:pPr>
        <w:pStyle w:val="standard"/>
        <w:ind w:hanging="0" w:start="360" w:end="0"/>
        <w:rPr/>
      </w:pPr>
      <w:r>
        <w:rPr/>
        <w:t>This order is effective today.</w:t>
      </w:r>
    </w:p>
    <w:p>
      <w:pPr>
        <w:pStyle w:val="standard"/>
        <w:ind w:hanging="0" w:start="360" w:end="0"/>
        <w:rPr/>
      </w:pPr>
      <w:r>
        <w:rPr/>
        <w:t>Dated _____________________, at San Francisco, California.</w:t>
      </w:r>
    </w:p>
    <w:p>
      <w:pPr>
        <w:pStyle w:val="standard"/>
        <w:ind w:hanging="0" w:start="360" w:end="0"/>
        <w:rPr/>
      </w:pPr>
      <w:r>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93239</w:t>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As clarified in SCE’s December 18, 2000 Supplemental Declaration, the components that make up SCE’s proposed intrastate transportation rates can be found in the tariffs of Southern California Gas Company (SoCal).  Schedule GT-F includes the GT-F5 rate and the ITCS rate.  Schedule G-MSUR specifies the municipal surcharge for transportation volumes.  The G-MSUR component is calculated by multiplying the surcharge rate (1.4828%) by the imputed franchise fee factor (98.5172%) and the monthly weighted average cost of gas posted monthly in Schedule G-CS.</w:t>
      </w:r>
    </w:p>
  </w:footnote>
  <w:footnote w:id="3">
    <w:p>
      <w:pPr>
        <w:pStyle w:val="FootnoteText"/>
        <w:spacing w:before="0" w:after="120"/>
        <w:rPr/>
      </w:pPr>
      <w:r>
        <w:rPr>
          <w:rStyle w:val="FootnoteCharacters"/>
        </w:rPr>
        <w:footnoteRef/>
      </w:r>
      <w:r>
        <w:rPr/>
        <w:t xml:space="preserve">  </w:t>
      </w:r>
      <w:r>
        <w:rPr/>
        <w:t>PURPA is the Public Utility Regulatory Policy Act of 1978 and provides the federal framework for QF policy and avoided cost payments.</w:t>
      </w:r>
    </w:p>
  </w:footnote>
  <w:footnote w:id="4">
    <w:p>
      <w:pPr>
        <w:pStyle w:val="FootnoteText"/>
        <w:spacing w:before="0" w:after="120"/>
        <w:rPr/>
      </w:pPr>
      <w:r>
        <w:rPr>
          <w:rStyle w:val="FootnoteCharacters"/>
        </w:rPr>
        <w:footnoteRef/>
      </w:r>
      <w:r>
        <w:rPr/>
        <w:t xml:space="preserve">  </w:t>
      </w:r>
      <w:r>
        <w:rPr/>
        <w:t>SCE served these comments electronically on September 27.  However, the comments were not filed with the Docket Office until September 29.  For ease of reference, we will refer to these comments as the September 27, 2000 Comments and they will be treated as if they were timely filed.</w:t>
      </w:r>
    </w:p>
  </w:footnote>
  <w:footnote w:id="5">
    <w:p>
      <w:pPr>
        <w:pStyle w:val="FootnoteText"/>
        <w:spacing w:before="0" w:after="120"/>
        <w:rPr/>
      </w:pPr>
      <w:r>
        <w:rPr>
          <w:rStyle w:val="FootnoteCharacters"/>
        </w:rPr>
        <w:footnoteRef/>
      </w:r>
      <w:r>
        <w:rPr/>
        <w:t xml:space="preserve">  </w:t>
      </w:r>
      <w:r>
        <w:rPr/>
        <w:t>Pbase and GP</w:t>
      </w:r>
      <w:r>
        <w:rPr>
          <w:vertAlign w:val="subscript"/>
        </w:rPr>
        <w:t>base</w:t>
      </w:r>
      <w:r>
        <w:rPr/>
        <w:t xml:space="preserve"> remain fixed based on their statutory definitions.</w:t>
      </w:r>
    </w:p>
  </w:footnote>
  <w:footnote w:id="6">
    <w:p>
      <w:pPr>
        <w:pStyle w:val="FootnoteText"/>
        <w:spacing w:before="0" w:after="120"/>
        <w:rPr/>
      </w:pPr>
      <w:r>
        <w:rPr>
          <w:rStyle w:val="FootnoteCharacters"/>
        </w:rPr>
        <w:footnoteRef/>
      </w:r>
      <w:r>
        <w:rPr/>
        <w:t xml:space="preserve">  </w:t>
      </w:r>
      <w:r>
        <w:rPr/>
        <w:t>Topock is located at the California/Arizona border and an entry point for Southwest gas into Southern California Gas Company’s system.</w:t>
      </w:r>
    </w:p>
  </w:footnote>
  <w:footnote w:id="7">
    <w:p>
      <w:pPr>
        <w:pStyle w:val="FootnoteText"/>
        <w:spacing w:before="0" w:after="120"/>
        <w:rPr/>
      </w:pPr>
      <w:r>
        <w:rPr>
          <w:rStyle w:val="FootnoteCharacters"/>
        </w:rPr>
        <w:footnoteRef/>
      </w:r>
      <w:r>
        <w:rPr/>
        <w:t xml:space="preserve">  </w:t>
      </w:r>
      <w:r>
        <w:rPr/>
        <w:t>Malin is located at the California/Oregon border and is the entry point for Canadian gas into PG&amp;E’s system.</w:t>
      </w:r>
    </w:p>
  </w:footnote>
  <w:footnote w:id="8">
    <w:p>
      <w:pPr>
        <w:pStyle w:val="FootnoteText"/>
        <w:spacing w:before="0" w:after="120"/>
        <w:rPr/>
      </w:pPr>
      <w:r>
        <w:rPr>
          <w:rStyle w:val="FootnoteCharacters"/>
        </w:rPr>
        <w:footnoteRef/>
      </w:r>
      <w:r>
        <w:rPr/>
        <w:t xml:space="preserve">  </w:t>
      </w:r>
      <w:r>
        <w:rPr/>
        <w:t>Notice was provided to parties in Investigation 89-07-004 and Rulemaking 99-11-022.</w:t>
      </w:r>
    </w:p>
  </w:footnote>
  <w:footnote w:id="9">
    <w:p>
      <w:pPr>
        <w:pStyle w:val="FootnoteText"/>
        <w:spacing w:before="0" w:after="120"/>
        <w:rPr/>
      </w:pPr>
      <w:r>
        <w:rPr>
          <w:rStyle w:val="FootnoteCharacters"/>
        </w:rPr>
        <w:footnoteRef/>
      </w:r>
      <w:r>
        <w:rPr/>
        <w:t xml:space="preserve">  </w:t>
      </w:r>
      <w:r>
        <w:rPr/>
        <w:t>The basis differential is the difference between prices in the producing basins and at the border and usually bears some relationship to transportation costs from the basin to the border.</w:t>
      </w:r>
    </w:p>
  </w:footnote>
  <w:footnote w:id="10">
    <w:p>
      <w:pPr>
        <w:pStyle w:val="FootnoteText"/>
        <w:spacing w:before="0" w:after="120"/>
        <w:rPr/>
      </w:pPr>
      <w:r>
        <w:rPr>
          <w:rStyle w:val="FootnoteCharacters"/>
        </w:rPr>
        <w:footnoteRef/>
      </w:r>
      <w:r>
        <w:rPr/>
        <w:t xml:space="preserve">  </w:t>
      </w:r>
      <w:r>
        <w:rPr/>
        <w:t>In numerous declarations filed in this proceeding, QFs have identified “linked” or “tied” purchase arrangements. However, we have not been privy to the contracts to know how these terms operate.</w:t>
      </w:r>
    </w:p>
  </w:footnote>
  <w:footnote w:id="11">
    <w:p>
      <w:pPr>
        <w:pStyle w:val="FootnoteText"/>
        <w:spacing w:before="0" w:after="120"/>
        <w:rPr/>
      </w:pPr>
      <w:r>
        <w:rPr>
          <w:rStyle w:val="FootnoteCharacters"/>
        </w:rPr>
        <w:footnoteRef/>
      </w:r>
      <w:r>
        <w:rPr/>
        <w:t xml:space="preserve">  </w:t>
      </w:r>
      <w:r>
        <w:rPr/>
        <w:t>CCC, Caithness, FPL, IEP, and Watson Cogeneration Company filed comments jointly as QF Parties on September 27, 2000.</w:t>
      </w:r>
    </w:p>
  </w:footnote>
  <w:footnote w:id="12">
    <w:p>
      <w:pPr>
        <w:pStyle w:val="FootnoteText"/>
        <w:spacing w:before="0" w:after="120"/>
        <w:rPr/>
      </w:pPr>
      <w:r>
        <w:rPr>
          <w:rStyle w:val="FootnoteCharacters"/>
        </w:rPr>
        <w:footnoteRef/>
      </w:r>
      <w:r>
        <w:rPr/>
        <w:t xml:space="preserve">  </w:t>
      </w:r>
      <w:r>
        <w:rPr/>
        <w:t>On August 19, 2000, an explosion destroyed part of the southern portion of the El Paso pipeline system, killing twelve people.  The accident disrupted natural gas supplies to California.  A significant increase in prices at the California border followed.</w:t>
      </w:r>
    </w:p>
  </w:footnote>
  <w:footnote w:id="13">
    <w:p>
      <w:pPr>
        <w:pStyle w:val="FootnoteText"/>
        <w:spacing w:before="0" w:after="120"/>
        <w:rPr/>
      </w:pPr>
      <w:r>
        <w:rPr>
          <w:rStyle w:val="FootnoteCharacters"/>
        </w:rPr>
        <w:footnoteRef/>
      </w:r>
      <w:r>
        <w:rPr/>
        <w:t xml:space="preserve">  </w:t>
      </w:r>
      <w:r>
        <w:rPr/>
        <w:t xml:space="preserve">In its September 27, 2000 Comments, CAC incorporates by reference its September 13, 2000 and September 18 Comments and Reply Comments on SCE’s August 28, 2000 Emergency Motion. </w:t>
      </w:r>
    </w:p>
  </w:footnote>
  <w:footnote w:id="14">
    <w:p>
      <w:pPr>
        <w:pStyle w:val="FootnoteText"/>
        <w:spacing w:before="0" w:after="240"/>
        <w:rPr/>
      </w:pPr>
      <w:r>
        <w:rPr>
          <w:rStyle w:val="FootnoteCharacters"/>
        </w:rPr>
        <w:footnoteRef/>
      </w:r>
      <w:r>
        <w:rPr/>
        <w:t xml:space="preserve"> </w:t>
      </w:r>
      <w:r>
        <w:rPr/>
        <w:t>Coastal originally intervened as Engage Energy US, L.P. It changed its name to Coastal in October 2000.</w:t>
      </w:r>
    </w:p>
  </w:footnote>
  <w:footnote w:id="15">
    <w:p>
      <w:pPr>
        <w:pStyle w:val="FootnoteText"/>
        <w:spacing w:before="0" w:after="120"/>
        <w:rPr/>
      </w:pPr>
      <w:r>
        <w:rPr>
          <w:rStyle w:val="FootnoteCharacters"/>
        </w:rPr>
        <w:footnoteRef/>
      </w:r>
      <w:r>
        <w:rPr/>
        <w:t xml:space="preserve">  </w:t>
      </w:r>
      <w:r>
        <w:rPr/>
        <w:t>In its order, FERC relies on November 22, 2000 comments from Western Power Trading Forum (WPTF) to develop its advisory benchmark. WPTF relies on D.97-08-056 to calculate an average generation rate of $67.45/MWh prior to restructuring. FERC then adjusts this figure to $74/MWh, assuming that $67.45 reflected a 10% rate reduction pursuant to Assembly Bill 1890.  In reality, the $67.45/MWh figure is derived by dividing total generation related revenue requirement by sales, and therefore reflects generation costs prior to restructuring and does not require upward adjustment.  In addition, this figure represents a fully shaped total portfolio, not just baseload contracts as suggested by FERC.</w:t>
      </w:r>
    </w:p>
  </w:footnote>
  <w:footnote w:id="16">
    <w:p>
      <w:pPr>
        <w:pStyle w:val="FootnoteText"/>
        <w:spacing w:before="0" w:after="120"/>
        <w:rPr/>
      </w:pPr>
      <w:r>
        <w:rPr>
          <w:rStyle w:val="FootnoteCharacters"/>
        </w:rPr>
        <w:footnoteRef/>
      </w:r>
      <w:r>
        <w:rPr/>
        <w:t xml:space="preserve">  </w:t>
      </w:r>
      <w:r>
        <w:rPr/>
        <w:t>This cap applies to payments under SRAC and to QFs paid based on SRAC and should be effective with the next regularly scheduled posting.</w:t>
      </w:r>
    </w:p>
  </w:footnote>
  <w:footnote w:id="17">
    <w:p>
      <w:pPr>
        <w:pStyle w:val="FootnoteText"/>
        <w:spacing w:before="0" w:after="240"/>
        <w:rPr/>
      </w:pPr>
      <w:r>
        <w:rPr>
          <w:rStyle w:val="FootnoteCharacters"/>
        </w:rPr>
        <w:footnoteRef/>
      </w:r>
      <w:r>
        <w:rPr/>
        <w:t xml:space="preserve">  </w:t>
      </w:r>
      <w:r>
        <w:rPr/>
        <w:t xml:space="preserve">Full avoided cost refers only to a decision by the FERC implementing PURPA not to approve a methodology that would have permitted payment of a percentage or fraction of avoided cost.  </w:t>
      </w:r>
      <w:r>
        <w:rPr>
          <w:u w:val="single"/>
        </w:rPr>
        <w:t>American Paper Institute v. American Electric Power</w:t>
      </w:r>
      <w:r>
        <w:rPr/>
        <w:t>, 461 U.S. 402, 413 (1983).  It does not require setting payments at a high level.  C.f., Federal Energy Regulatory Commission, Administrative Determination of Full Avoided Costs, 53 F.R.. 9331, CCH Federal Energy Guidelines Para. 32,457 at page 32,163::  “Setting rates above the utility’s avoided cost has at least two harmful effects,  First, such rates may cause a rise in retail rate, which would constitute a ratepayer subsidy to QFs.   Such subsidies of QFs are prohibited under PURPA..[fn. 77  See H.R. Rep. No. 1750, 95</w:t>
      </w:r>
      <w:r>
        <w:rPr>
          <w:vertAlign w:val="superscript"/>
        </w:rPr>
        <w:t>th</w:t>
      </w:r>
      <w:r>
        <w:rPr/>
        <w:t xml:space="preserve"> Cong., 2nd Session, 1978 U.S. Code Cong. And Admin. News 7797, 7832.]  Second, less efficient QFs attracted by high rates may displace more efficient non-QF sources, an effect also at odds with PURPA.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COM/CXW/tcg ***</w:t>
      <w:tab/>
      <w:tab/>
    </w: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Normal"/>
    <w:qFormat/>
    <w:pPr>
      <w:keepNext w:val="true"/>
      <w:numPr>
        <w:ilvl w:val="1"/>
        <w:numId w:val="1"/>
      </w:numPr>
      <w:spacing w:before="120" w:after="60"/>
      <w:ind w:hanging="0" w:start="720" w:end="0"/>
      <w:outlineLvl w:val="1"/>
    </w:pPr>
    <w:rPr>
      <w:rFonts w:ascii="Helvetica" w:hAnsi="Helvetica" w:cs="Helvetica"/>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160" w:leader="none"/>
        <w:tab w:val="left" w:pos="3600" w:leader="none"/>
      </w:tabs>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standard">
    <w:name w:val="standard"/>
    <w:basedOn w:val="Normal"/>
    <w:qFormat/>
    <w:pPr>
      <w:spacing w:lineRule="auto" w:line="360"/>
      <w:ind w:firstLine="720" w:start="0" w:end="0"/>
    </w:pPr>
    <w:rPr/>
  </w:style>
  <w:style w:type="paragraph" w:styleId="no1">
    <w:name w:val="no.1"/>
    <w:basedOn w:val="standard"/>
    <w:qFormat/>
    <w:pPr>
      <w:numPr>
        <w:ilvl w:val="0"/>
        <w:numId w:val="5"/>
      </w:numPr>
      <w:tabs>
        <w:tab w:val="clear" w:pos="720"/>
        <w:tab w:val="left" w:pos="1080" w:leader="none"/>
      </w:tabs>
      <w:spacing w:lineRule="auto" w:line="240" w:before="0" w:after="120"/>
      <w:ind w:hanging="360" w:start="1080" w:end="0"/>
    </w:pPr>
    <w:rPr/>
  </w:style>
  <w:style w:type="paragraph" w:styleId="main">
    <w:name w:val="main"/>
    <w:basedOn w:val="Normal"/>
    <w:qFormat/>
    <w:pPr>
      <w:jc w:val="center"/>
    </w:pPr>
    <w:rPr>
      <w:rFonts w:ascii="Helvetica" w:hAnsi="Helvetica" w:cs="Helvetica"/>
      <w:b/>
    </w:rPr>
  </w:style>
  <w:style w:type="paragraph" w:styleId="quote">
    <w:name w:val="quote"/>
    <w:basedOn w:val="standard"/>
    <w:next w:val="standard"/>
    <w:qFormat/>
    <w:pPr>
      <w:spacing w:lineRule="auto" w:line="240" w:before="120" w:after="240"/>
      <w:ind w:hanging="0" w:start="720" w:end="720"/>
    </w:pPr>
    <w:rPr/>
  </w:style>
  <w:style w:type="paragraph" w:styleId="sub1">
    <w:name w:val="sub1"/>
    <w:basedOn w:val="standard"/>
    <w:qFormat/>
    <w:pPr>
      <w:ind w:firstLine="1080" w:start="0" w:end="0"/>
    </w:pPr>
    <w:rPr/>
  </w:style>
  <w:style w:type="paragraph" w:styleId="quote1">
    <w:name w:val="quote 1"/>
    <w:basedOn w:val="quote"/>
    <w:qFormat/>
    <w:pPr>
      <w:ind w:hanging="0" w:start="1080" w:end="1440"/>
    </w:pPr>
    <w:rPr/>
  </w:style>
  <w:style w:type="paragraph" w:styleId="dummy">
    <w:name w:val="dummy"/>
    <w:basedOn w:val="Heading1"/>
    <w:qFormat/>
    <w:pPr>
      <w:numPr>
        <w:ilvl w:val="0"/>
        <w:numId w:val="0"/>
      </w:numPr>
      <w:outlineLvl w:val="9"/>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num2">
    <w:name w:val="num2"/>
    <w:basedOn w:val="num1"/>
    <w:qFormat/>
    <w:pPr>
      <w:ind w:firstLine="270" w:start="0" w:end="0"/>
    </w:pPr>
    <w:rPr/>
  </w:style>
  <w:style w:type="paragraph" w:styleId="mainex">
    <w:name w:val="mainex"/>
    <w:basedOn w:val="main"/>
    <w:qFormat/>
    <w:pPr/>
    <w:rPr>
      <w:spacing w:val="120"/>
    </w:rPr>
  </w:style>
  <w:style w:type="paragraph" w:styleId="FootnoteText">
    <w:name w:val="footnote text"/>
    <w:basedOn w:val="Normal"/>
    <w:pPr>
      <w:spacing w:before="0" w:after="240"/>
    </w:pPr>
    <w:rPr>
      <w:sz w:val="24"/>
    </w:rPr>
  </w:style>
  <w:style w:type="paragraph" w:styleId="BodyText2">
    <w:name w:val="Body Text 2"/>
    <w:basedOn w:val="Normal"/>
    <w:qFormat/>
    <w:pPr>
      <w:spacing w:lineRule="auto" w:line="360"/>
    </w:pPr>
    <w:rPr>
      <w:sz w:val="24"/>
    </w:rPr>
  </w:style>
  <w:style w:type="paragraph" w:styleId="BodyTextIndent">
    <w:name w:val="Body Text Indent"/>
    <w:basedOn w:val="Normal"/>
    <w:pPr>
      <w:spacing w:lineRule="auto" w:line="360"/>
      <w:ind w:firstLine="720"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2001-03-29T17:45:00Z</dcterms:created>
  <dc:creator>Fannie Sid</dc:creator>
  <dc:description/>
  <dc:language>en-CA</dc:language>
  <cp:lastModifiedBy>dfuller</cp:lastModifiedBy>
  <cp:lastPrinted>2001-03-26T09:15:00Z</cp:lastPrinted>
  <dcterms:modified xsi:type="dcterms:W3CDTF">2001-03-29T17:45:00Z</dcterms:modified>
  <cp:revision>2</cp:revision>
  <dc:subject/>
  <dc:title>letter template</dc:title>
</cp:coreProperties>
</file>