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rPr>
      </w:pPr>
      <w:r>
        <w:rPr>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sz w:val="22"/>
        </w:rPr>
      </w:pPr>
      <w:r>
        <w:rPr>
          <w:sz w:val="22"/>
        </w:rPr>
      </w:r>
    </w:p>
    <w:p>
      <w:pPr>
        <w:pStyle w:val="Normal"/>
        <w:rPr>
          <w:sz w:val="22"/>
        </w:rPr>
      </w:pPr>
      <w:r>
        <w:rPr>
          <w:b/>
          <w:i/>
          <w:sz w:val="22"/>
        </w:rPr>
        <w:t>Natural Gas, Electricity and Endless Possibilities</w:t>
      </w:r>
    </w:p>
    <w:p>
      <w:pPr>
        <w:pStyle w:val="Normal"/>
        <w:rPr>
          <w:b/>
          <w:sz w:val="22"/>
        </w:rPr>
      </w:pPr>
      <w:r>
        <w:rPr>
          <w:b/>
          <w:sz w:val="22"/>
        </w:rPr>
        <w:t>ENRON TRANPORTATION SERVICES COMPANY</w:t>
      </w:r>
    </w:p>
    <w:p>
      <w:pPr>
        <w:pStyle w:val="Normal"/>
        <w:rPr>
          <w:b/>
          <w:sz w:val="22"/>
        </w:rPr>
      </w:pPr>
      <w:r>
        <w:rPr>
          <w:b/>
          <w:sz w:val="22"/>
        </w:rPr>
      </w:r>
    </w:p>
    <w:p>
      <w:pPr>
        <w:pStyle w:val="Heading"/>
        <w:rPr>
          <w:rFonts w:ascii="CG Times (W1);Times New Roman" w:hAnsi="CG Times (W1);Times New Roman" w:cs="CG Times (W1);Times New Roman"/>
        </w:rPr>
      </w:pPr>
      <w:r>
        <w:rPr>
          <w:rFonts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cs="CG Times (W1);Times New Roman"/>
              </w:rPr>
            </w:pPr>
            <w:r>
              <w:rPr>
                <w:rFonts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cs="CG Times (W1);Times New Roman"/>
                <w:sz w:val="24"/>
              </w:rPr>
            </w:pPr>
            <w:bookmarkStart w:id="0" w:name="to"/>
            <w:bookmarkEnd w:id="0"/>
            <w:r>
              <w:rPr>
                <w:rFonts w:cs="CG Times (W1);Times New Roman" w:ascii="CG Times (W1);Times New Roman" w:hAnsi="CG Times (W1);Times New Roman"/>
                <w:sz w:val="24"/>
              </w:rPr>
              <w:t>Distribution</w:t>
            </w:r>
          </w:p>
          <w:p>
            <w:pPr>
              <w:pStyle w:val="To"/>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1418" w:type="dxa"/>
            <w:tcBorders/>
          </w:tcPr>
          <w:p>
            <w:pPr>
              <w:pStyle w:val="Normal"/>
              <w:snapToGrid w:val="false"/>
              <w:ind w:start="-180" w:end="0"/>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rPr>
            </w:pPr>
            <w:r>
              <w:rPr>
                <w:rFonts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cs="CG Times (W1);Times New Roman"/>
              </w:rPr>
            </w:pPr>
            <w:r>
              <w:rPr>
                <w:rFonts w:cs="CG Times (W1);Times New Roman" w:ascii="CG Times (W1);Times New Roman" w:hAnsi="CG Times (W1);Times New Roman"/>
              </w:rPr>
              <w:t>From:</w:t>
            </w:r>
          </w:p>
        </w:tc>
        <w:tc>
          <w:tcPr>
            <w:tcW w:w="4230" w:type="dxa"/>
            <w:tcBorders/>
          </w:tcPr>
          <w:p>
            <w:pPr>
              <w:pStyle w:val="From"/>
              <w:rPr>
                <w:rFonts w:ascii="CG Times (W1);Times New Roman" w:hAnsi="CG Times (W1);Times New Roman" w:cs="CG Times (W1);Times New Roman"/>
                <w:sz w:val="24"/>
              </w:rPr>
            </w:pPr>
            <w:r>
              <w:rPr>
                <w:rFonts w:cs="CG Times (W1);Times New Roman" w:ascii="CG Times (W1);Times New Roman" w:hAnsi="CG Times (W1);Times New Roman"/>
                <w:sz w:val="24"/>
              </w:rPr>
              <w:t>Jan Butler / Shelley Corman</w:t>
            </w:r>
          </w:p>
        </w:tc>
        <w:tc>
          <w:tcPr>
            <w:tcW w:w="1418" w:type="dxa"/>
            <w:tcBorders/>
          </w:tcPr>
          <w:p>
            <w:pPr>
              <w:pStyle w:val="Normal"/>
              <w:snapToGrid w:val="false"/>
              <w:ind w:start="-180" w:end="0"/>
              <w:jc w:val="end"/>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2633" w:type="dxa"/>
            <w:tcBorders/>
          </w:tcPr>
          <w:p>
            <w:pPr>
              <w:pStyle w:val="Department"/>
              <w:snapToGrid w:val="false"/>
              <w:rPr>
                <w:rFonts w:ascii="CG Times (W1);Times New Roman" w:hAnsi="CG Times (W1);Times New Roman" w:cs="CG Times (W1);Times New Roman"/>
                <w:sz w:val="24"/>
              </w:rPr>
            </w:pPr>
            <w:r>
              <w:rPr>
                <w:rFonts w:cs="CG Times (W1);Times New Roman" w:ascii="CG Times (W1);Times New Roman" w:hAnsi="CG Times (W1);Times New Roman"/>
                <w:sz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cs="CG Times (W1);Times New Roman"/>
                <w:sz w:val="24"/>
              </w:rPr>
            </w:pPr>
            <w:r>
              <w:rPr>
                <w:rFonts w:cs="CG Times (W1);Times New Roman" w:ascii="CG Times (W1);Times New Roman" w:hAnsi="CG Times (W1);Times New Roman"/>
                <w:sz w:val="24"/>
              </w:rPr>
            </w:r>
          </w:p>
        </w:tc>
        <w:tc>
          <w:tcPr>
            <w:tcW w:w="4230"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cs="CG Times (W1);Times New Roman"/>
              </w:rPr>
            </w:pPr>
            <w:r>
              <w:rPr>
                <w:rFonts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cs="CG Times (W1);Times New Roman"/>
              </w:rPr>
            </w:pPr>
            <w:r>
              <w:rPr>
                <w:rFonts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cs="Times New Roman"/>
              </w:rPr>
            </w:pPr>
            <w:bookmarkStart w:id="3" w:name="Subject"/>
            <w:bookmarkEnd w:id="3"/>
            <w:r>
              <w:rPr>
                <w:rFonts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cs="CG Times (W1);Times New Roman"/>
              </w:rPr>
            </w:pPr>
            <w:r>
              <w:rPr>
                <w:rFonts w:eastAsia="CG Times (W1);Times New Roman" w:cs="CG Times (W1);Times New Roman" w:ascii="CG Times (W1);Times New Roman" w:hAnsi="CG Times (W1);Times New Roman"/>
              </w:rPr>
              <w:t xml:space="preserve">   </w:t>
            </w:r>
            <w:r>
              <w:rPr>
                <w:rFonts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cs="CG Times (W1);Times New Roman"/>
                <w:sz w:val="24"/>
              </w:rPr>
            </w:pPr>
            <w:r>
              <w:rPr>
                <w:rFonts w:cs="CG Times (W1);Times New Roman" w:ascii="CG Times (W1);Times New Roman" w:hAnsi="CG Times (W1);Times New Roman"/>
                <w:sz w:val="24"/>
              </w:rPr>
              <w:t>September 15, 2000</w:t>
            </w:r>
          </w:p>
        </w:tc>
      </w:tr>
    </w:tbl>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ind w:start="72" w:end="0"/>
        <w:jc w:val="center"/>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I.  General FERC Matters</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Columbia Gas Auction Technical Conference, RP00-347.</w:t>
      </w:r>
      <w:r>
        <w:rPr>
          <w:rFonts w:cs="Times New Roman" w:ascii="Times New Roman" w:hAnsi="Times New Roman"/>
        </w:rPr>
        <w:t xml:space="preserve">  Attached is a summary of the Columbia Gas technical conference held on September 14.  The conference was to discuss Columbia Gas' proposed interactive auction.  </w:t>
      </w:r>
      <w:r>
        <w:rPr>
          <w:rFonts w:cs="Times New Roman" w:ascii="Times New Roman" w:hAnsi="Times New Roman"/>
          <w:sz w:val="16"/>
        </w:rPr>
        <w:t>[Attached:  ColGasAuction.doc – Nancy Bagot’s Notes]</w:t>
      </w:r>
      <w:r>
        <w:rPr>
          <w:rFonts w:cs="Times New Roman" w:ascii="Times New Roman" w:hAnsi="Times New Roman"/>
        </w:rPr>
        <w:t xml:space="preserve"> </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Staff Conference on September 19, PL00-1.  </w:t>
      </w:r>
      <w:r>
        <w:rPr>
          <w:rFonts w:cs="Times New Roman" w:ascii="Times New Roman" w:hAnsi="Times New Roman"/>
        </w:rPr>
        <w:t xml:space="preserve">The conference schedule is attached, as well as Dave Neubauer’s presentation.  </w:t>
      </w:r>
      <w:r>
        <w:rPr>
          <w:rFonts w:cs="Times New Roman" w:ascii="Times New Roman" w:hAnsi="Times New Roman"/>
          <w:sz w:val="18"/>
        </w:rPr>
        <w:t xml:space="preserve">[Attached:  PL00-1.doc </w:t>
      </w:r>
      <w:r>
        <w:rPr>
          <w:rFonts w:cs="Times New Roman" w:ascii="Times New Roman" w:hAnsi="Times New Roman"/>
          <w:i/>
          <w:sz w:val="18"/>
        </w:rPr>
        <w:t xml:space="preserve">and </w:t>
      </w:r>
      <w:r>
        <w:rPr>
          <w:rFonts w:cs="Times New Roman" w:ascii="Times New Roman" w:hAnsi="Times New Roman"/>
          <w:sz w:val="18"/>
        </w:rPr>
        <w:t>Neubauer.doc]</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Order 637 Update.  </w:t>
      </w:r>
      <w:r>
        <w:rPr>
          <w:rFonts w:cs="Times New Roman" w:ascii="Times New Roman" w:hAnsi="Times New Roman"/>
        </w:rPr>
        <w:t xml:space="preserve">Colorado Interstate, RP00-325 is the latest pipeline to have a technical conference scheduled based on its compliance filing in Order No. 637 and associated protests.  The conference is scheduled for October 3. </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2"/>
        </w:numPr>
        <w:tabs>
          <w:tab w:val="clear" w:pos="540"/>
          <w:tab w:val="left" w:pos="3780" w:leader="none"/>
        </w:tabs>
        <w:rPr>
          <w:rFonts w:ascii="Times New Roman" w:hAnsi="Times New Roman" w:cs="Times New Roman"/>
        </w:rPr>
      </w:pPr>
      <w:r>
        <w:rPr>
          <w:rFonts w:cs="Times New Roman" w:ascii="Times New Roman" w:hAnsi="Times New Roman"/>
          <w:b/>
        </w:rPr>
        <w:t>Upcoming Technical Conference schedules</w:t>
      </w:r>
      <w:r>
        <w:rPr>
          <w:rFonts w:cs="Times New Roman" w:ascii="Times New Roman" w:hAnsi="Times New Roman"/>
        </w:rPr>
        <w:t>:  ANR (RP00-332) for September 20; Koch (RP00-340) for September 20; National Fuel (RP00-399) for September 26; Colorado Interstate (RP00-325) for October 3.</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FERC Announces Retirements.  </w:t>
      </w:r>
      <w:r>
        <w:rPr>
          <w:rFonts w:cs="Times New Roman" w:ascii="Times New Roman" w:hAnsi="Times New Roman"/>
        </w:rPr>
        <w:t xml:space="preserve">In the public meeting yesterday, FERC announced the following retirements:  Max Kane, Christie McGue, John Conway, Paul McKee, and Dottie Zimmerman (Chairman Hoecker’s personal assistant). </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t>II.  FERC Rulemaking</w:t>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Final Rule in Electronic Filing of Documents, RM00-12.  </w:t>
      </w:r>
      <w:r>
        <w:rPr>
          <w:rFonts w:cs="Times New Roman" w:ascii="Times New Roman" w:hAnsi="Times New Roman"/>
        </w:rPr>
        <w:t xml:space="preserve">FERC is amending 18 CFR Part 385 to allow for electronic filing of documents in certain circumstances.  The specific circumstances are yet not released.  Effective November 1, 2000, electronic filing is acceptable in lieu of paper filing on a voluntary basis and paper copies will not be required. Electronic submissions might include comments on applications or filings, technical conferences, environmental documents, settlements and issues set for hearing.  Any additional or changed requirements, such as enhanced security, will be the subject of future rulemakings, not addressed in this final rule. Privileged or protected documents may not be filed electronically and qualified documents may not be combined with filings that are impermissible - must be separate filings (i.e. protest and intervention must be filed separately).  </w:t>
      </w:r>
      <w:r>
        <w:rPr>
          <w:rFonts w:cs="Times New Roman" w:ascii="Times New Roman" w:hAnsi="Times New Roman"/>
          <w:sz w:val="16"/>
        </w:rPr>
        <w:t>[Attached:  RM00-12.doc]</w:t>
      </w:r>
      <w:r>
        <w:rPr>
          <w:rFonts w:cs="Times New Roman" w:ascii="Times New Roman" w:hAnsi="Times New Roman"/>
        </w:rPr>
        <w:t xml:space="preserve"> </w:t>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r>
    </w:p>
    <w:p>
      <w:pPr>
        <w:pStyle w:val="ListBullet"/>
        <w:numPr>
          <w:ilvl w:val="0"/>
          <w:numId w:val="3"/>
        </w:numPr>
        <w:rPr>
          <w:rFonts w:ascii="Times New Roman" w:hAnsi="Times New Roman" w:cs="Times New Roman"/>
        </w:rPr>
      </w:pPr>
      <w:r>
        <w:rPr>
          <w:rFonts w:cs="Times New Roman" w:ascii="Times New Roman" w:hAnsi="Times New Roman"/>
          <w:b/>
        </w:rPr>
        <w:t xml:space="preserve">Amoco Requests Clarification in OCS Rulemaking, Order 639-A, (RM99-5).  </w:t>
      </w:r>
      <w:r>
        <w:rPr>
          <w:rFonts w:cs="Times New Roman" w:ascii="Times New Roman" w:hAnsi="Times New Roman"/>
        </w:rPr>
        <w:t xml:space="preserve">On September 1, Amoco submitted a request for clarification of Order No. 639-A, Order on Rehearing.  Amoco states that Production Handling Agreements are not subject to OCSLA reporting requirements and does not intend to report such transactions unless FERC directs it to do so.  These agreements related to offshore processing activities conducted entirely upon production platforms.  </w:t>
      </w:r>
      <w:r>
        <w:rPr>
          <w:rFonts w:cs="Times New Roman" w:ascii="Times New Roman" w:hAnsi="Times New Roman"/>
          <w:i/>
        </w:rPr>
        <w:t xml:space="preserve">See also </w:t>
      </w:r>
      <w:r>
        <w:rPr>
          <w:rFonts w:cs="Times New Roman" w:ascii="Times New Roman" w:hAnsi="Times New Roman"/>
        </w:rPr>
        <w:t>Sea Robin draft order below.</w:t>
      </w:r>
    </w:p>
    <w:p>
      <w:pPr>
        <w:pStyle w:val="ListBullet"/>
        <w:numPr>
          <w:ilvl w:val="0"/>
          <w:numId w:val="0"/>
        </w:numPr>
        <w:ind w:hanging="0" w:start="0"/>
        <w:rPr>
          <w:rFonts w:ascii="Times New Roman" w:hAnsi="Times New Roman" w:cs="Times New Roman"/>
        </w:rPr>
      </w:pPr>
      <w:r>
        <w:rPr>
          <w:rFonts w:cs="Times New Roman" w:ascii="Times New Roman" w:hAnsi="Times New Roman"/>
        </w:rPr>
      </w:r>
    </w:p>
    <w:p>
      <w:pPr>
        <w:pStyle w:val="ListBullet"/>
        <w:numPr>
          <w:ilvl w:val="0"/>
          <w:numId w:val="3"/>
        </w:numPr>
        <w:rPr>
          <w:rFonts w:ascii="Times New Roman" w:hAnsi="Times New Roman" w:cs="Times New Roman"/>
        </w:rPr>
      </w:pPr>
      <w:r>
        <w:rPr>
          <w:rFonts w:cs="Times New Roman" w:ascii="Times New Roman" w:hAnsi="Times New Roman"/>
          <w:b/>
        </w:rPr>
        <w:t xml:space="preserve">OCS Rulemaking Issued Errata Notice, RM99-5.  </w:t>
      </w:r>
      <w:r>
        <w:rPr>
          <w:rFonts w:cs="Times New Roman" w:ascii="Times New Roman" w:hAnsi="Times New Roman"/>
        </w:rPr>
        <w:t xml:space="preserve">On September 8, FERC issued an errata notice modifying the last phrase on page 32, line 8, "since the same entity owns or leases both the mineral rights and the facilities necessary to draw gas from its own reservoirs."  </w:t>
      </w:r>
      <w:r>
        <w:rPr>
          <w:rFonts w:cs="Times New Roman" w:ascii="Times New Roman" w:hAnsi="Times New Roman"/>
          <w:sz w:val="16"/>
        </w:rPr>
        <w:t>[Attached:  RM99-5.doc]</w:t>
      </w:r>
      <w:r>
        <w:rPr>
          <w:rFonts w:cs="Times New Roman" w:ascii="Times New Roman" w:hAnsi="Times New Roman"/>
        </w:rPr>
        <w:t xml:space="preserve"> </w:t>
      </w:r>
    </w:p>
    <w:p>
      <w:pPr>
        <w:pStyle w:val="ListBullet"/>
        <w:numPr>
          <w:ilvl w:val="0"/>
          <w:numId w:val="0"/>
        </w:numPr>
        <w:ind w:hanging="0" w:start="0"/>
        <w:rPr>
          <w:rFonts w:ascii="Times New Roman" w:hAnsi="Times New Roman" w:cs="Times New Roman"/>
          <w:b/>
        </w:rPr>
      </w:pPr>
      <w:r>
        <w:rPr>
          <w:rFonts w:cs="Times New Roman" w:ascii="Times New Roman" w:hAnsi="Times New Roman"/>
          <w:b/>
        </w:rPr>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t>III.  GPG-Related FERC Orders and Filings</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Florida Gas</w:t>
      </w:r>
    </w:p>
    <w:p>
      <w:pPr>
        <w:pStyle w:val="Normal"/>
        <w:numPr>
          <w:ilvl w:val="0"/>
          <w:numId w:val="0"/>
        </w:numPr>
        <w:tabs>
          <w:tab w:val="clear" w:pos="540"/>
        </w:tabs>
        <w:ind w:hanging="0" w:start="720" w:end="0"/>
        <w:rPr>
          <w:rFonts w:ascii="Times New Roman" w:hAnsi="Times New Roman" w:cs="Times New Roman"/>
        </w:rPr>
      </w:pPr>
      <w:r>
        <w:rPr>
          <w:rFonts w:cs="Times New Roman" w:ascii="Times New Roman" w:hAnsi="Times New Roman"/>
        </w:rPr>
        <w:t>Order finds FGT''s revised Index of Requirements updating exempt uses of various customers appropriate (excluding Coronet and Agri-Chem properly), RP99-351.</w:t>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Northern Border</w:t>
      </w:r>
    </w:p>
    <w:p>
      <w:pPr>
        <w:pStyle w:val="Normal"/>
        <w:numPr>
          <w:ilvl w:val="0"/>
          <w:numId w:val="0"/>
        </w:numPr>
        <w:tabs>
          <w:tab w:val="clear" w:pos="540"/>
        </w:tabs>
        <w:ind w:hanging="0" w:start="720" w:end="0"/>
        <w:rPr>
          <w:rFonts w:ascii="Times New Roman" w:hAnsi="Times New Roman" w:cs="Times New Roman"/>
        </w:rPr>
      </w:pPr>
      <w:r>
        <w:rPr>
          <w:rFonts w:cs="Times New Roman" w:ascii="Times New Roman" w:hAnsi="Times New Roman"/>
        </w:rPr>
        <w:t>Draft order issued rejecting both the request for rehearing filed by Pan-Alberta Companies and the request for consideration of ProGas /Renaissance on Project 2000, CP99-21 arguing that the project requires subsidization from non-project shippers. The order clarifies that the Chicago Expansion and Project 2000 are separate projects and the rate impact of the first cannot influence the finding for rates on the second project.  Nothing in current policy requires imputing a prior rate increase resulting from rolling in costs of one project (Chicago Project) to consideration of another, current project (Project 2000).  In other words, the policy will not be applied retroactively.  Concerning turnback capacity, FERC concluded that Northern Border did not discriminate in modifying its project to implement capacity release agreements close in time to the filing of the original application, while rejecting offers of turnback capacity at dates following Northern Border's filing.  "…it is another (thing) to require a pipeline to accept any and all unilateral offers of turnback capacity at any time after an application is filed."</w:t>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Northern Natural</w:t>
      </w:r>
    </w:p>
    <w:p>
      <w:pPr>
        <w:pStyle w:val="Normal"/>
        <w:numPr>
          <w:ilvl w:val="0"/>
          <w:numId w:val="0"/>
        </w:numPr>
        <w:tabs>
          <w:tab w:val="clear" w:pos="540"/>
        </w:tabs>
        <w:ind w:hanging="0" w:start="720" w:end="0"/>
        <w:rPr>
          <w:rFonts w:ascii="Times New Roman" w:hAnsi="Times New Roman" w:cs="Times New Roman"/>
        </w:rPr>
      </w:pPr>
      <w:r>
        <w:rPr>
          <w:rFonts w:cs="Times New Roman" w:ascii="Times New Roman" w:hAnsi="Times New Roman"/>
        </w:rPr>
        <w:t>Additional information requested in Carlton settlement proceedings, RP96-347.</w:t>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Transwestern</w:t>
      </w:r>
    </w:p>
    <w:p>
      <w:pPr>
        <w:pStyle w:val="Normal"/>
        <w:numPr>
          <w:ilvl w:val="0"/>
          <w:numId w:val="0"/>
        </w:numPr>
        <w:tabs>
          <w:tab w:val="clear" w:pos="540"/>
        </w:tabs>
        <w:ind w:hanging="0" w:start="720" w:end="0"/>
        <w:rPr>
          <w:rFonts w:ascii="Times New Roman" w:hAnsi="Times New Roman" w:cs="Times New Roman"/>
        </w:rPr>
      </w:pPr>
      <w:r>
        <w:rPr>
          <w:rFonts w:cs="Times New Roman" w:ascii="Times New Roman" w:hAnsi="Times New Roman"/>
        </w:rPr>
        <w:t xml:space="preserve">Order issued following technical conference accepts proposed contracting for off-system capacity with Public Service Company of NM, RP00-249.  However, TW is only allowed to purchase upstream capacity from PNM and repackage it as firm during the non-peak periods. The order also grants a limited waiver of "shipper must have title" rule for a two-year period.  TW will be at risk for any added costs from PNM.  The tariff sheets are to be effective September 15, 2000.  </w:t>
      </w:r>
    </w:p>
    <w:p>
      <w:pPr>
        <w:pStyle w:val="Normal"/>
        <w:numPr>
          <w:ilvl w:val="0"/>
          <w:numId w:val="0"/>
        </w:numPr>
        <w:tabs>
          <w:tab w:val="clear" w:pos="540"/>
        </w:tabs>
        <w:ind w:hanging="0" w:start="720" w:end="0"/>
        <w:rPr>
          <w:rFonts w:ascii="Times New Roman" w:hAnsi="Times New Roman" w:cs="Times New Roman"/>
        </w:rPr>
      </w:pPr>
      <w:r>
        <w:rPr>
          <w:rFonts w:cs="Times New Roman" w:ascii="Times New Roman" w:hAnsi="Times New Roman"/>
        </w:rPr>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t>IV.  Specific FERC Cases</w:t>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Sea Robin Order Denies Stay in Jurisdictional Review, CP95-168.  </w:t>
      </w:r>
      <w:r>
        <w:rPr>
          <w:rFonts w:cs="Times New Roman" w:ascii="Times New Roman" w:hAnsi="Times New Roman"/>
        </w:rPr>
        <w:t xml:space="preserve">In the order issued today, FERC has denied the stay requested by Indicated Parties of the Commission’s order declaring the Sea Robin system be part NGA jurisdictional, part non-NGA gathering. Indicated Parties claim that given the enormous impact (of billions of dollars) on offshore production and transportation activities in the Gulf of Mexico of these orders, public interest requires a stay. </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Natural Order Approves New Firm Reverse Storage Service Following Technical Conference, RP00-169.  </w:t>
      </w:r>
      <w:r>
        <w:rPr>
          <w:rFonts w:cs="Times New Roman" w:ascii="Times New Roman" w:hAnsi="Times New Roman"/>
        </w:rPr>
        <w:t>The new service proposed by Natural is primarily to serve the electric generation market during the summer peak period.  The injection and withdrawal seasons are reversed, May 15 through September 30, from the existing storage service.  At the conference, Natural submitted a study and attachments supporting its providing 20 Bcf</w:t>
      </w:r>
      <w:r>
        <w:rPr>
          <w:rFonts w:cs="Times New Roman" w:ascii="Times New Roman" w:hAnsi="Times New Roman"/>
          <w:vertAlign w:val="superscript"/>
        </w:rPr>
        <w:t xml:space="preserve"> </w:t>
      </w:r>
      <w:r>
        <w:rPr>
          <w:rFonts w:cs="Times New Roman" w:ascii="Times New Roman" w:hAnsi="Times New Roman"/>
        </w:rPr>
        <w:t xml:space="preserve"> of the new firm reverse storage service on a seasonal basis without impacting existing services.  FERC has increased its limit of 100,000 Dth/day in its order issued February 24 to 20 Bcf based on Natural's study.  This order requires Natural to file revised tariff sheets permitting the separate release of firm transportation and storage rights.  </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Edison v. SoCalGas Order Terminates Proceeding in Complaint By Parties Agreement, RP97-284.  </w:t>
      </w:r>
      <w:r>
        <w:rPr>
          <w:rFonts w:cs="Times New Roman" w:ascii="Times New Roman" w:hAnsi="Times New Roman"/>
        </w:rPr>
        <w:t>Consistent with the agreement of the parties, this complaint proceeding is terminated.  Edison had alleged that SoCalGas was abusing market power over the interstate pipeline capacity from the San Juan Basin into Southern California by restricting capacity release and discriminating between its sales of released capacity.  Parties have reached resolution - SoCalGas admits no violations and will continue to offer any capacity for release not specifically held to provide service to core customers.  SoCalGas agreed to consult with Edison and any other affected party before revising these procedures.</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Southern Natural Files To Modify Compression Facilities, CP00-233.  </w:t>
      </w:r>
      <w:r>
        <w:rPr>
          <w:rFonts w:cs="Times New Roman" w:ascii="Times New Roman" w:hAnsi="Times New Roman"/>
        </w:rPr>
        <w:t>On August 31, Southern filed to modify certain compression facilities from gas-fired to electric and reduce the length of one of the proposed loops.  It will require installation of about 10 miles of non-jurisdictional power transmission lines to be installed and owned by Alabama Power, an affiliate of Southern Company Services, one of the shippers for the South System Expansion project.</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Natural Gas Revises Tariff, RP00-450.</w:t>
      </w:r>
      <w:r>
        <w:rPr>
          <w:rFonts w:cs="Times New Roman" w:ascii="Times New Roman" w:hAnsi="Times New Roman"/>
        </w:rPr>
        <w:t xml:space="preserve">  On September 8, FERC accepted Natural's tariff changes.  Among the changes, most notable are the changes to the No-Notice Balancing Option (Natural cannot accommodate its NB option if requested at any time during the contract term - too open-ended - revised to permit only with mutual agreement and only as part of the original service request); the two limitations to its NB Option - a) shippers must request within 30 days of entering into new Nominated Firm Storage Service or obtaining rights to new storage and b) shippers may only request the NB option by mutual agreement with NGPL even within the 30 day period; and proposes to provide cycling of customer's gas where operationally feasible (providing cycling to storage customers on a non-discriminatory basis where gas is temporarily taken out of the customer's DSS account to be restored by May 1 - cycling charge assessed with a minimum and maximum equal to that for the Authorized Inventory Cycling Charge). </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Texas Eastern Notice Issued on NOI for Environmental Assessment On Columbia Liberty Project, CP00-404.  </w:t>
      </w:r>
      <w:r>
        <w:rPr>
          <w:rFonts w:cs="Times New Roman" w:ascii="Times New Roman" w:hAnsi="Times New Roman"/>
        </w:rPr>
        <w:t>Staff will prepare an environmental assessment for the Columbia Liberty project located in Pennsylvania.  Texas Eastern intends to expand its existing Philadelphia lateral system to supply 84,000 Dk/day to the Columbia Liberty Plant, a 567.7 MW gas-fired electric power plant presently being constructed in Pennsylvania.</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PG&amp;E Gas- Northwest Order Rejects Proposed Interruptible Capacity Allocation Method and Denied Rehearing, RP00-205.  </w:t>
      </w:r>
      <w:r>
        <w:rPr>
          <w:rFonts w:cs="Times New Roman" w:ascii="Times New Roman" w:hAnsi="Times New Roman"/>
        </w:rPr>
        <w:t xml:space="preserve">PG&amp;E Gas-NW proposed tariff changes to incorporate a new economic capacity allocation mechanism for IT capacity for maximum rate bids and the elimination of IT queue as a tie-breaker.  In a March 31 order, the Commission rejected the proposal.  Upon review of supplemental information provided by PG&amp;E-NW, the Commission still questions the need for the mechanism and denies rehearing.  The proposal was to apply the same revenue scheduling methodology currently used for transactions at less than maximum rate to all capacity transactions, followed by a pro-rata, tie-breaking mechanism for services generating equal revenue per dekatherm. The Commission did not find that the tie-breaking mechanism required a full section 4 filing.  </w:t>
      </w:r>
    </w:p>
    <w:p>
      <w:pPr>
        <w:pStyle w:val="Normal"/>
        <w:numPr>
          <w:ilvl w:val="0"/>
          <w:numId w:val="0"/>
        </w:numPr>
        <w:tabs>
          <w:tab w:val="clear" w:pos="540"/>
        </w:tabs>
        <w:ind w:hanging="0" w:start="0"/>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Horizon Pipeline Issued Preliminary Determination, CP00-129.  </w:t>
      </w:r>
      <w:r>
        <w:rPr>
          <w:rFonts w:cs="Times New Roman" w:ascii="Times New Roman" w:hAnsi="Times New Roman"/>
        </w:rPr>
        <w:t xml:space="preserve">In concert with Natural Gas Pipeline, Horizon was issued a PD for non-environmental issues for their construction project and lease on Natural's system of firm capacity.  Horizon executed a precedent agreement with Nicor Gas (LDC) serving Northern Illinois for a 10-year term at a negotiated rate. This represents nearly 80% of the capacity to be created.  Horizon will provide cost-effective service by paying Natural to lease capacity on 42 miles of Natural's system rather than spending $90 million in capital costs to build its own 42 miles of pipe.  Over the 20-year term of the lease agreement, Horizon will pay Natural $41.6 million.  Horizon has designed its recourse rate using SFV, 13.20% ROE (requested 14%), 8% cost of debt, 3% depreciation rate and 34% federal and state tax rate.  </w:t>
      </w:r>
    </w:p>
    <w:p>
      <w:pPr>
        <w:pStyle w:val="Normal"/>
        <w:tabs>
          <w:tab w:val="clear" w:pos="540"/>
        </w:tabs>
        <w:rPr>
          <w:rFonts w:ascii="Times New Roman" w:hAnsi="Times New Roman" w:cs="Times New Roman"/>
        </w:rPr>
      </w:pPr>
      <w:r>
        <w:rPr>
          <w:rFonts w:cs="Times New Roman" w:ascii="Times New Roman" w:hAnsi="Times New Roman"/>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Central NY Oil and Gas and Tennessee Gas Project Issued Environmental Assessment, CP00-61/CP00-65.  </w:t>
      </w:r>
      <w:r>
        <w:rPr>
          <w:rFonts w:cs="Times New Roman" w:ascii="Times New Roman" w:hAnsi="Times New Roman"/>
        </w:rPr>
        <w:t xml:space="preserve">In a September 15 notice, the availability of the environmental assessment for the Stagecoach Expansion Project was issued.  Staff concluded that approval of the project was appropriate with certain mitigating measures.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rPr>
      </w:pPr>
      <w:r>
        <w:rPr>
          <w:rFonts w:cs="Times New Roman" w:ascii="Times New Roman" w:hAnsi="Times New Roman"/>
          <w:b/>
        </w:rPr>
        <w:t xml:space="preserve">Wattenberg Order Vacates Certificate and Dismisses Rehearing, CP98-49.  </w:t>
      </w:r>
      <w:r>
        <w:rPr>
          <w:rFonts w:cs="Times New Roman" w:ascii="Times New Roman" w:hAnsi="Times New Roman"/>
        </w:rPr>
        <w:t>In the order issued September 15, FERC is vacating Wattenberg's Front Runner project since Wattenberg is not intending to construct the facilities.  Public Service Company of Colorado received approval of its expansion project, Front Range at nearly the same time as Wattenberg.  Public Service's project has been operational since 1998.</w:t>
      </w:r>
    </w:p>
    <w:p>
      <w:pPr>
        <w:pStyle w:val="Normal"/>
        <w:tabs>
          <w:tab w:val="clear" w:pos="540"/>
        </w:tabs>
        <w:rPr>
          <w:rFonts w:ascii="Times New Roman" w:hAnsi="Times New Roman" w:cs="Times New Roman"/>
        </w:rPr>
      </w:pPr>
      <w:r>
        <w:rPr>
          <w:rFonts w:cs="Times New Roman" w:ascii="Times New Roman" w:hAnsi="Times New Roman"/>
        </w:rPr>
      </w:r>
    </w:p>
    <w:p>
      <w:pPr>
        <w:pStyle w:val="Normal"/>
        <w:tabs>
          <w:tab w:val="clear" w:pos="540"/>
        </w:tabs>
        <w:jc w:val="center"/>
        <w:rPr>
          <w:rFonts w:ascii="Times New Roman" w:hAnsi="Times New Roman" w:cs="Times New Roman"/>
          <w:b/>
        </w:rPr>
      </w:pPr>
      <w:r>
        <w:rPr>
          <w:rFonts w:cs="Times New Roman" w:ascii="Times New Roman" w:hAnsi="Times New Roman"/>
          <w:b/>
        </w:rPr>
        <w:t>V.  Electric Matters</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 xml:space="preserve">Alternative Power Source v. ISO New England, EL00-109.  </w:t>
      </w:r>
      <w:r>
        <w:rPr>
          <w:rFonts w:cs="Times New Roman" w:ascii="Times New Roman" w:hAnsi="Times New Roman"/>
        </w:rPr>
        <w:t>On September 11, Alternate Power filed a complaint requesting FERC directs ISO New England to suspend the April, 2000 ICAP auction "clearing price" and a cease and desist order from requiring APS to pay escrow for April, 2000, from "settling" the ICAP prices for May, June and July, 2000 until a thorough investigation of the ICAP auction market has been completed.</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 xml:space="preserve">Tenaska Power v. Southwest Power Pool, EL00-108.  </w:t>
      </w:r>
      <w:r>
        <w:rPr>
          <w:rFonts w:cs="Times New Roman" w:ascii="Times New Roman" w:hAnsi="Times New Roman"/>
        </w:rPr>
        <w:t xml:space="preserve">On September 11, Tenaska filed a complaint against Southwest Power Pool requesting that FERC order Southwest to honor Tenaska's long-term firm point-to-point requests for transmission service through a tie into Texas.  </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0"/>
        </w:numPr>
        <w:tabs>
          <w:tab w:val="clear" w:pos="540"/>
        </w:tabs>
        <w:ind w:hanging="0" w:start="0"/>
        <w:jc w:val="center"/>
        <w:rPr>
          <w:rFonts w:ascii="Times New Roman" w:hAnsi="Times New Roman" w:cs="Times New Roman"/>
          <w:b/>
        </w:rPr>
      </w:pPr>
      <w:r>
        <w:rPr>
          <w:rFonts w:cs="Times New Roman" w:ascii="Times New Roman" w:hAnsi="Times New Roman"/>
          <w:b/>
        </w:rPr>
        <w:t>VI.  INGAA/ Industry Matters</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 xml:space="preserve">FERC Vows to Take Action in Power Crisis in California.  </w:t>
      </w:r>
      <w:r>
        <w:rPr>
          <w:rFonts w:cs="Times New Roman" w:ascii="Times New Roman" w:hAnsi="Times New Roman"/>
        </w:rPr>
        <w:t xml:space="preserve">At the public meeting on Tuesday, Chairman Hoecker told the California gathering that the power market is dramatically out of sync and needs a quick remedy.  FERC will consider tougher price limits on wholesale electricity sold throughout the west by generators and power marketers alleged to be "gaming" the system.  FERC met in San Diego because this is ground zero for the state power crisis.  San Diego Gas &amp; Electric was the first utility to deregulate and the first to pass along big spikes in wholesale electricity costs directly to consumers.  </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 xml:space="preserve">FERC and Federal Officials Tell Senate Committee of Need to Build Alaskan Pipeline Systems.  </w:t>
      </w:r>
      <w:r>
        <w:rPr>
          <w:rFonts w:cs="Times New Roman" w:ascii="Times New Roman" w:hAnsi="Times New Roman"/>
        </w:rPr>
        <w:t xml:space="preserve">In testimony before the Senate Energy and Natural Resources committee, FERC Chairman Hoecker said he has assembled a team to look into the web of legal, environmental and logistics issues related to the growing demand for natural gas in Alaska.  Secretary of Energy T. J. Glauthier pointed out that between now and 2020, natural gas consumption is likely to grow faster than any other major fuel source with demand reaching 32 tcf by 2020.  The use of natural gas for electricity generation is expected to increase almost threefold in this timeframe.  Of 1,000 new power plants to be built in the U.S. nearly 900 will be fueled by natural gas.  </w:t>
      </w:r>
    </w:p>
    <w:p>
      <w:pPr>
        <w:pStyle w:val="Normal"/>
        <w:numPr>
          <w:ilvl w:val="0"/>
          <w:numId w:val="0"/>
        </w:numPr>
        <w:tabs>
          <w:tab w:val="clear" w:pos="540"/>
        </w:tabs>
        <w:ind w:hanging="0" w:start="0"/>
        <w:rPr>
          <w:rFonts w:ascii="Times New Roman" w:hAnsi="Times New Roman" w:cs="Times New Roman"/>
          <w:b/>
        </w:rPr>
      </w:pPr>
      <w:r>
        <w:rPr>
          <w:rFonts w:cs="Times New Roman" w:ascii="Times New Roman" w:hAnsi="Times New Roman"/>
          <w:b/>
        </w:rPr>
      </w:r>
    </w:p>
    <w:p>
      <w:pPr>
        <w:pStyle w:val="Normal"/>
        <w:numPr>
          <w:ilvl w:val="0"/>
          <w:numId w:val="3"/>
        </w:numPr>
        <w:tabs>
          <w:tab w:val="clear" w:pos="540"/>
        </w:tabs>
        <w:rPr>
          <w:rFonts w:ascii="Times New Roman" w:hAnsi="Times New Roman" w:cs="Times New Roman"/>
          <w:b/>
        </w:rPr>
      </w:pPr>
      <w:r>
        <w:rPr>
          <w:rFonts w:cs="Times New Roman" w:ascii="Times New Roman" w:hAnsi="Times New Roman"/>
          <w:b/>
        </w:rPr>
        <w:t xml:space="preserve">$8.4 Million in Grants Boost Energy Efficiency Research.  </w:t>
      </w:r>
      <w:r>
        <w:rPr>
          <w:rFonts w:cs="Times New Roman" w:ascii="Times New Roman" w:hAnsi="Times New Roman"/>
        </w:rPr>
        <w:t xml:space="preserve">DOE has awarded $8.4 million in research grants to improve energy efficiency in commercial and residential buildings.  These buildings represent 65% of the electricity and 40% of natural gas used in the U.S.  </w:t>
      </w:r>
    </w:p>
    <w:sectPr>
      <w:footerReference w:type="default" r:id="rId3"/>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G Times (W1)">
    <w:altName w:val="Times New Roma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Wk9-15.doc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6515" cy="116205"/>
              <wp:effectExtent l="0" t="0" r="0" b="0"/>
              <wp:wrapSquare wrapText="bothSides"/>
              <wp:docPr id="2" name="Frame1"/>
              <a:graphic xmlns:a="http://schemas.openxmlformats.org/drawingml/2006/main">
                <a:graphicData uri="http://schemas.microsoft.com/office/word/2010/wordprocessingShape">
                  <wps:wsp>
                    <wps:cNvSpPr txBox="1"/>
                    <wps:spPr>
                      <a:xfrm>
                        <a:off x="0" y="0"/>
                        <a:ext cx="5651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4.45pt;height:9.15pt;mso-wrap-distance-left:0pt;mso-wrap-distance-right:0pt;mso-wrap-distance-top:0pt;mso-wrap-distance-bottom:0pt;margin-top:0.05pt;mso-position-vertical-relative:text;margin-left:231.8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2000-08-30T18:19:00Z</dcterms:created>
  <dc:creator>Jan Butler</dc:creator>
  <dc:description/>
  <dc:language>en-CA</dc:language>
  <cp:lastModifiedBy>Janet Butler</cp:lastModifiedBy>
  <cp:lastPrinted>2000-09-15T14:58:00Z</cp:lastPrinted>
  <dcterms:modified xsi:type="dcterms:W3CDTF">2000-09-15T17:30:00Z</dcterms:modified>
  <cp:revision>12</cp:revision>
  <dc:subject/>
  <dc:title>Weekly Regulatory Report template</dc:title>
</cp:coreProperties>
</file>