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540" w:leader="none"/>
          <w:tab w:val="right" w:pos="6120" w:leader="none"/>
          <w:tab w:val="right" w:pos="9360" w:leader="none"/>
        </w:tabs>
        <w:rPr>
          <w:rFonts w:ascii="Times New Roman" w:hAnsi="Times New Roman" w:cs="Times New Roman"/>
          <w:sz w:val="22"/>
        </w:rPr>
      </w:pPr>
      <w:r>
        <w:rPr>
          <w:rFonts w:cs="Times New Roman" w:ascii="Times New Roman" w:hAnsi="Times New Roman"/>
          <w:sz w:val="20"/>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16915" cy="703580"/>
                    </a:xfrm>
                    <a:prstGeom prst="rect">
                      <a:avLst/>
                    </a:prstGeom>
                    <a:noFill/>
                  </pic:spPr>
                </pic:pic>
              </a:graphicData>
            </a:graphic>
          </wp:inline>
        </w:drawing>
      </w:r>
    </w:p>
    <w:p>
      <w:pPr>
        <w:pStyle w:val="Heading"/>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b/>
          <w:i/>
          <w:sz w:val="22"/>
        </w:rPr>
        <w:t>Natural Gas, Electricity and Endless Possibilities</w:t>
      </w:r>
    </w:p>
    <w:p>
      <w:pPr>
        <w:pStyle w:val="Normal"/>
        <w:rPr>
          <w:rFonts w:ascii="Times New Roman" w:hAnsi="Times New Roman" w:cs="Times New Roman"/>
          <w:b/>
          <w:sz w:val="22"/>
        </w:rPr>
      </w:pPr>
      <w:r>
        <w:rPr>
          <w:rFonts w:cs="Times New Roman" w:ascii="Times New Roman" w:hAnsi="Times New Roman"/>
          <w:b/>
          <w:sz w:val="22"/>
        </w:rPr>
        <w:t>ENRON GAS PIPELINE GROUP</w:t>
      </w:r>
    </w:p>
    <w:p>
      <w:pPr>
        <w:pStyle w:val="Normal"/>
        <w:rPr>
          <w:rFonts w:ascii="Times New Roman" w:hAnsi="Times New Roman" w:cs="Times New Roman"/>
          <w:b/>
          <w:sz w:val="22"/>
        </w:rPr>
      </w:pPr>
      <w:r>
        <w:rPr>
          <w:rFonts w:cs="Times New Roman" w:ascii="Times New Roman" w:hAnsi="Times New Roman"/>
          <w:b/>
          <w:sz w:val="22"/>
        </w:rPr>
      </w:r>
    </w:p>
    <w:p>
      <w:pPr>
        <w:pStyle w:val="Heading"/>
        <w:rPr>
          <w:rFonts w:ascii="Times New Roman" w:hAnsi="Times New Roman" w:cs="Times New Roman"/>
        </w:rPr>
      </w:pPr>
      <w:r>
        <w:rPr>
          <w:rFonts w:cs="Times New Roman" w:ascii="Times New Roman" w:hAnsi="Times New Roman"/>
        </w:rPr>
        <w:tab/>
      </w:r>
    </w:p>
    <w:tbl>
      <w:tblPr>
        <w:tblW w:w="9451" w:type="dxa"/>
        <w:jc w:val="start"/>
        <w:tblInd w:w="198" w:type="dxa"/>
        <w:tblLayout w:type="fixed"/>
        <w:tblCellMar>
          <w:top w:w="0" w:type="dxa"/>
          <w:start w:w="108" w:type="dxa"/>
          <w:bottom w:w="0" w:type="dxa"/>
          <w:end w:w="108" w:type="dxa"/>
        </w:tblCellMar>
      </w:tblPr>
      <w:tblGrid>
        <w:gridCol w:w="1170"/>
        <w:gridCol w:w="4230"/>
        <w:gridCol w:w="1418"/>
        <w:gridCol w:w="2633"/>
      </w:tblGrid>
      <w:tr>
        <w:trPr>
          <w:trHeight w:val="300" w:hRule="exact"/>
        </w:trPr>
        <w:tc>
          <w:tcPr>
            <w:tcW w:w="1170" w:type="dxa"/>
            <w:tcBorders/>
          </w:tcPr>
          <w:p>
            <w:pPr>
              <w:pStyle w:val="Normal"/>
              <w:ind w:start="134" w:end="0"/>
              <w:rPr>
                <w:rFonts w:ascii="Times New Roman" w:hAnsi="Times New Roman" w:cs="Times New Roman"/>
              </w:rPr>
            </w:pPr>
            <w:r>
              <w:rPr>
                <w:rFonts w:cs="Times New Roman" w:ascii="Times New Roman" w:hAnsi="Times New Roman"/>
              </w:rPr>
              <w:t xml:space="preserve">To: </w:t>
            </w:r>
          </w:p>
        </w:tc>
        <w:tc>
          <w:tcPr>
            <w:tcW w:w="4230" w:type="dxa"/>
            <w:tcBorders/>
          </w:tcPr>
          <w:p>
            <w:pPr>
              <w:pStyle w:val="To"/>
              <w:rPr>
                <w:rFonts w:ascii="Times New Roman" w:hAnsi="Times New Roman" w:cs="Times New Roman"/>
                <w:sz w:val="24"/>
              </w:rPr>
            </w:pPr>
            <w:bookmarkStart w:id="0" w:name="to"/>
            <w:bookmarkEnd w:id="0"/>
            <w:r>
              <w:rPr>
                <w:rFonts w:cs="Times New Roman" w:ascii="Times New Roman" w:hAnsi="Times New Roman"/>
                <w:sz w:val="24"/>
              </w:rPr>
              <w:t>Distribution</w:t>
            </w:r>
          </w:p>
          <w:p>
            <w:pPr>
              <w:pStyle w:val="To"/>
              <w:rPr>
                <w:rFonts w:ascii="Times New Roman" w:hAnsi="Times New Roman" w:cs="Times New Roman"/>
                <w:sz w:val="24"/>
              </w:rPr>
            </w:pPr>
            <w:r>
              <w:rPr>
                <w:rFonts w:cs="Times New Roman" w:ascii="Times New Roman" w:hAnsi="Times New Roman"/>
                <w:sz w:val="24"/>
              </w:rPr>
            </w:r>
          </w:p>
        </w:tc>
        <w:tc>
          <w:tcPr>
            <w:tcW w:w="1418" w:type="dxa"/>
            <w:tcBorders/>
          </w:tcPr>
          <w:p>
            <w:pPr>
              <w:pStyle w:val="Normal"/>
              <w:snapToGrid w:val="false"/>
              <w:ind w:start="-180" w:end="0"/>
              <w:rPr>
                <w:rFonts w:ascii="Times New Roman" w:hAnsi="Times New Roman" w:cs="Times New Roman"/>
                <w:sz w:val="24"/>
              </w:rPr>
            </w:pPr>
            <w:r>
              <w:rPr>
                <w:rFonts w:cs="Times New Roman" w:ascii="Times New Roman" w:hAnsi="Times New Roman"/>
                <w:sz w:val="24"/>
              </w:rPr>
            </w:r>
          </w:p>
        </w:tc>
        <w:tc>
          <w:tcPr>
            <w:tcW w:w="2633" w:type="dxa"/>
            <w:tcBorders/>
          </w:tcPr>
          <w:p>
            <w:pPr>
              <w:pStyle w:val="Normal"/>
              <w:snapToGrid w:val="false"/>
              <w:rPr>
                <w:rFonts w:ascii="Times New Roman" w:hAnsi="Times New Roman" w:cs="Times New Roman"/>
              </w:rPr>
            </w:pPr>
            <w:r>
              <w:rPr>
                <w:rFonts w:cs="Times New Roman" w:ascii="Times New Roman" w:hAnsi="Times New Roman"/>
              </w:rPr>
            </w:r>
          </w:p>
        </w:tc>
      </w:tr>
      <w:tr>
        <w:trPr>
          <w:trHeight w:val="216" w:hRule="exact"/>
        </w:trPr>
        <w:tc>
          <w:tcPr>
            <w:tcW w:w="1170" w:type="dxa"/>
            <w:tcBorders/>
          </w:tcPr>
          <w:p>
            <w:pPr>
              <w:pStyle w:val="Normal"/>
              <w:snapToGrid w:val="false"/>
              <w:ind w:start="-180" w:end="0"/>
              <w:jc w:val="end"/>
              <w:rPr>
                <w:rFonts w:ascii="Times New Roman" w:hAnsi="Times New Roman" w:cs="Times New Roman"/>
              </w:rPr>
            </w:pPr>
            <w:r>
              <w:rPr>
                <w:rFonts w:cs="Times New Roman" w:ascii="Times New Roman" w:hAnsi="Times New Roman"/>
              </w:rPr>
            </w:r>
          </w:p>
        </w:tc>
        <w:tc>
          <w:tcPr>
            <w:tcW w:w="4230" w:type="dxa"/>
            <w:tcBorders/>
          </w:tcPr>
          <w:p>
            <w:pPr>
              <w:pStyle w:val="Normal"/>
              <w:snapToGrid w:val="false"/>
              <w:rPr>
                <w:rFonts w:ascii="Times New Roman" w:hAnsi="Times New Roman" w:cs="Times New Roman"/>
              </w:rPr>
            </w:pPr>
            <w:r>
              <w:rPr>
                <w:rFonts w:cs="Times New Roman" w:ascii="Times New Roman" w:hAnsi="Times New Roman"/>
              </w:rPr>
            </w:r>
          </w:p>
        </w:tc>
        <w:tc>
          <w:tcPr>
            <w:tcW w:w="1418" w:type="dxa"/>
            <w:tcBorders/>
          </w:tcPr>
          <w:p>
            <w:pPr>
              <w:pStyle w:val="Normal"/>
              <w:snapToGrid w:val="false"/>
              <w:ind w:start="-180" w:end="0"/>
              <w:rPr>
                <w:rFonts w:ascii="Times New Roman" w:hAnsi="Times New Roman" w:cs="Times New Roman"/>
              </w:rPr>
            </w:pPr>
            <w:r>
              <w:rPr>
                <w:rFonts w:cs="Times New Roman" w:ascii="Times New Roman" w:hAnsi="Times New Roman"/>
              </w:rPr>
            </w:r>
          </w:p>
        </w:tc>
        <w:tc>
          <w:tcPr>
            <w:tcW w:w="2633" w:type="dxa"/>
            <w:tcBorders/>
          </w:tcPr>
          <w:p>
            <w:pPr>
              <w:pStyle w:val="Normal"/>
              <w:snapToGrid w:val="false"/>
              <w:rPr>
                <w:rFonts w:ascii="Times New Roman" w:hAnsi="Times New Roman" w:cs="Times New Roman"/>
              </w:rPr>
            </w:pPr>
            <w:r>
              <w:rPr>
                <w:rFonts w:cs="Times New Roman" w:ascii="Times New Roman" w:hAnsi="Times New Roman"/>
              </w:rPr>
            </w:r>
          </w:p>
        </w:tc>
      </w:tr>
      <w:tr>
        <w:trPr>
          <w:trHeight w:val="300" w:hRule="exact"/>
        </w:trPr>
        <w:tc>
          <w:tcPr>
            <w:tcW w:w="1170" w:type="dxa"/>
            <w:tcBorders/>
          </w:tcPr>
          <w:p>
            <w:pPr>
              <w:pStyle w:val="Normal"/>
              <w:ind w:firstLine="28" w:start="134" w:end="0"/>
              <w:rPr>
                <w:rFonts w:ascii="Times New Roman" w:hAnsi="Times New Roman" w:cs="Times New Roman"/>
              </w:rPr>
            </w:pPr>
            <w:r>
              <w:rPr>
                <w:rFonts w:cs="Times New Roman" w:ascii="Times New Roman" w:hAnsi="Times New Roman"/>
              </w:rPr>
              <w:t>From:</w:t>
            </w:r>
          </w:p>
        </w:tc>
        <w:tc>
          <w:tcPr>
            <w:tcW w:w="4230" w:type="dxa"/>
            <w:tcBorders/>
          </w:tcPr>
          <w:p>
            <w:pPr>
              <w:pStyle w:val="From"/>
              <w:rPr>
                <w:rFonts w:ascii="Times New Roman" w:hAnsi="Times New Roman" w:cs="Times New Roman"/>
                <w:sz w:val="24"/>
              </w:rPr>
            </w:pPr>
            <w:r>
              <w:rPr>
                <w:rFonts w:cs="Times New Roman" w:ascii="Times New Roman" w:hAnsi="Times New Roman"/>
                <w:sz w:val="24"/>
              </w:rPr>
              <w:t>Shelley Corman</w:t>
            </w:r>
          </w:p>
        </w:tc>
        <w:tc>
          <w:tcPr>
            <w:tcW w:w="1418" w:type="dxa"/>
            <w:tcBorders/>
          </w:tcPr>
          <w:p>
            <w:pPr>
              <w:pStyle w:val="Normal"/>
              <w:snapToGrid w:val="false"/>
              <w:ind w:start="-180" w:end="0"/>
              <w:jc w:val="end"/>
              <w:rPr>
                <w:rFonts w:ascii="Times New Roman" w:hAnsi="Times New Roman" w:cs="Times New Roman"/>
                <w:sz w:val="24"/>
              </w:rPr>
            </w:pPr>
            <w:r>
              <w:rPr>
                <w:rFonts w:cs="Times New Roman" w:ascii="Times New Roman" w:hAnsi="Times New Roman"/>
                <w:sz w:val="24"/>
              </w:rPr>
            </w:r>
          </w:p>
        </w:tc>
        <w:tc>
          <w:tcPr>
            <w:tcW w:w="2633" w:type="dxa"/>
            <w:tcBorders/>
          </w:tcPr>
          <w:p>
            <w:pPr>
              <w:pStyle w:val="Department"/>
              <w:snapToGrid w:val="false"/>
              <w:rPr>
                <w:rFonts w:ascii="Times New Roman" w:hAnsi="Times New Roman" w:cs="Times New Roman"/>
                <w:sz w:val="24"/>
              </w:rPr>
            </w:pPr>
            <w:r>
              <w:rPr>
                <w:rFonts w:cs="Times New Roman" w:ascii="Times New Roman" w:hAnsi="Times New Roman"/>
                <w:sz w:val="24"/>
              </w:rPr>
            </w:r>
            <w:bookmarkStart w:id="1" w:name="From"/>
            <w:bookmarkStart w:id="2" w:name="From"/>
            <w:bookmarkEnd w:id="2"/>
          </w:p>
        </w:tc>
      </w:tr>
      <w:tr>
        <w:trPr>
          <w:trHeight w:val="216" w:hRule="exact"/>
        </w:trPr>
        <w:tc>
          <w:tcPr>
            <w:tcW w:w="1170" w:type="dxa"/>
            <w:tcBorders/>
          </w:tcPr>
          <w:p>
            <w:pPr>
              <w:pStyle w:val="Normal"/>
              <w:snapToGrid w:val="false"/>
              <w:ind w:start="-180" w:end="0"/>
              <w:jc w:val="end"/>
              <w:rPr>
                <w:rFonts w:ascii="Times New Roman" w:hAnsi="Times New Roman" w:cs="Times New Roman"/>
                <w:sz w:val="24"/>
              </w:rPr>
            </w:pPr>
            <w:r>
              <w:rPr>
                <w:rFonts w:cs="Times New Roman" w:ascii="Times New Roman" w:hAnsi="Times New Roman"/>
                <w:sz w:val="24"/>
              </w:rPr>
            </w:r>
          </w:p>
        </w:tc>
        <w:tc>
          <w:tcPr>
            <w:tcW w:w="4230" w:type="dxa"/>
            <w:tcBorders/>
          </w:tcPr>
          <w:p>
            <w:pPr>
              <w:pStyle w:val="Normal"/>
              <w:snapToGrid w:val="false"/>
              <w:rPr>
                <w:rFonts w:ascii="Times New Roman" w:hAnsi="Times New Roman" w:cs="Times New Roman"/>
              </w:rPr>
            </w:pPr>
            <w:r>
              <w:rPr>
                <w:rFonts w:cs="Times New Roman" w:ascii="Times New Roman" w:hAnsi="Times New Roman"/>
              </w:rPr>
            </w:r>
          </w:p>
        </w:tc>
        <w:tc>
          <w:tcPr>
            <w:tcW w:w="1418" w:type="dxa"/>
            <w:tcBorders/>
          </w:tcPr>
          <w:p>
            <w:pPr>
              <w:pStyle w:val="Normal"/>
              <w:snapToGrid w:val="false"/>
              <w:ind w:start="-180" w:end="0"/>
              <w:rPr>
                <w:rFonts w:ascii="Times New Roman" w:hAnsi="Times New Roman" w:cs="Times New Roman"/>
              </w:rPr>
            </w:pPr>
            <w:r>
              <w:rPr>
                <w:rFonts w:cs="Times New Roman" w:ascii="Times New Roman" w:hAnsi="Times New Roman"/>
              </w:rPr>
            </w:r>
          </w:p>
        </w:tc>
        <w:tc>
          <w:tcPr>
            <w:tcW w:w="2633" w:type="dxa"/>
            <w:tcBorders/>
          </w:tcPr>
          <w:p>
            <w:pPr>
              <w:pStyle w:val="Normal"/>
              <w:snapToGrid w:val="false"/>
              <w:rPr>
                <w:rFonts w:ascii="Times New Roman" w:hAnsi="Times New Roman" w:cs="Times New Roman"/>
              </w:rPr>
            </w:pPr>
            <w:r>
              <w:rPr>
                <w:rFonts w:cs="Times New Roman" w:ascii="Times New Roman" w:hAnsi="Times New Roman"/>
              </w:rPr>
            </w:r>
          </w:p>
        </w:tc>
      </w:tr>
      <w:tr>
        <w:trPr>
          <w:trHeight w:val="391" w:hRule="exact"/>
        </w:trPr>
        <w:tc>
          <w:tcPr>
            <w:tcW w:w="1170" w:type="dxa"/>
            <w:tcBorders>
              <w:bottom w:val="single" w:sz="18" w:space="0" w:color="000000"/>
            </w:tcBorders>
          </w:tcPr>
          <w:p>
            <w:pPr>
              <w:pStyle w:val="Normal"/>
              <w:ind w:start="-180" w:end="0"/>
              <w:jc w:val="end"/>
              <w:rPr>
                <w:rFonts w:ascii="Times New Roman" w:hAnsi="Times New Roman" w:cs="Times New Roman"/>
              </w:rPr>
            </w:pPr>
            <w:r>
              <w:rPr>
                <w:rFonts w:cs="Times New Roman" w:ascii="Times New Roman" w:hAnsi="Times New Roman"/>
              </w:rPr>
              <w:t>Subject:</w:t>
            </w:r>
          </w:p>
        </w:tc>
        <w:tc>
          <w:tcPr>
            <w:tcW w:w="4230" w:type="dxa"/>
            <w:tcBorders>
              <w:bottom w:val="single" w:sz="18" w:space="0" w:color="000000"/>
            </w:tcBorders>
          </w:tcPr>
          <w:p>
            <w:pPr>
              <w:pStyle w:val="Normal"/>
              <w:rPr>
                <w:rFonts w:ascii="Times New Roman" w:hAnsi="Times New Roman" w:cs="Times New Roman"/>
              </w:rPr>
            </w:pPr>
            <w:bookmarkStart w:id="3" w:name="Subject"/>
            <w:bookmarkEnd w:id="3"/>
            <w:r>
              <w:rPr>
                <w:rFonts w:cs="Times New Roman" w:ascii="Times New Roman" w:hAnsi="Times New Roman"/>
              </w:rPr>
              <w:t>Weekly Regulatory Report</w:t>
            </w:r>
          </w:p>
        </w:tc>
        <w:tc>
          <w:tcPr>
            <w:tcW w:w="1418" w:type="dxa"/>
            <w:tcBorders>
              <w:bottom w:val="single" w:sz="18" w:space="0" w:color="000000"/>
            </w:tcBorders>
          </w:tcPr>
          <w:p>
            <w:pPr>
              <w:pStyle w:val="Normal"/>
              <w:ind w:start="-180" w:end="0"/>
              <w:jc w:val="end"/>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Date:</w:t>
            </w:r>
          </w:p>
        </w:tc>
        <w:tc>
          <w:tcPr>
            <w:tcW w:w="2633" w:type="dxa"/>
            <w:tcBorders>
              <w:bottom w:val="single" w:sz="18" w:space="0" w:color="000000"/>
            </w:tcBorders>
          </w:tcPr>
          <w:p>
            <w:pPr>
              <w:pStyle w:val="Date"/>
              <w:rPr>
                <w:rFonts w:ascii="Times New Roman" w:hAnsi="Times New Roman" w:cs="Times New Roman"/>
                <w:sz w:val="24"/>
              </w:rPr>
            </w:pPr>
            <w:r>
              <w:rPr>
                <w:rFonts w:cs="Times New Roman" w:ascii="Times New Roman" w:hAnsi="Times New Roman"/>
                <w:sz w:val="24"/>
              </w:rPr>
              <w:t>, 2000</w:t>
            </w:r>
          </w:p>
        </w:tc>
      </w:tr>
    </w:tbl>
    <w:p>
      <w:pPr>
        <w:pStyle w:val="Normal"/>
        <w:tabs>
          <w:tab w:val="clear" w:pos="540"/>
        </w:tabs>
        <w:jc w:val="both"/>
        <w:rPr>
          <w:rFonts w:ascii="Times New Roman" w:hAnsi="Times New Roman" w:cs="Times New Roman"/>
        </w:rPr>
      </w:pPr>
      <w:r>
        <w:rPr>
          <w:rFonts w:cs="Times New Roman" w:ascii="Times New Roman" w:hAnsi="Times New Roman"/>
        </w:rPr>
      </w:r>
    </w:p>
    <w:p>
      <w:pPr>
        <w:pStyle w:val="Normal"/>
        <w:tabs>
          <w:tab w:val="clear" w:pos="540"/>
        </w:tabs>
        <w:ind w:start="72" w:end="0"/>
        <w:jc w:val="center"/>
        <w:rPr>
          <w:rFonts w:ascii="Times New Roman" w:hAnsi="Times New Roman" w:cs="Times New Roman"/>
          <w:b/>
        </w:rPr>
      </w:pPr>
      <w:r>
        <w:rPr>
          <w:rFonts w:cs="Times New Roman" w:ascii="Times New Roman" w:hAnsi="Times New Roman"/>
          <w:b/>
        </w:rPr>
      </w:r>
    </w:p>
    <w:p>
      <w:pPr>
        <w:pStyle w:val="Normal"/>
        <w:tabs>
          <w:tab w:val="clear" w:pos="540"/>
        </w:tabs>
        <w:jc w:val="center"/>
        <w:rPr>
          <w:rFonts w:ascii="Times New Roman" w:hAnsi="Times New Roman" w:cs="Times New Roman"/>
          <w:b/>
        </w:rPr>
      </w:pPr>
      <w:r>
        <w:rPr>
          <w:rFonts w:cs="Times New Roman" w:ascii="Times New Roman" w:hAnsi="Times New Roman"/>
          <w:b/>
        </w:rPr>
        <w:t>General FERC Matters</w:t>
      </w:r>
    </w:p>
    <w:p>
      <w:pPr>
        <w:pStyle w:val="Normal"/>
        <w:spacing w:lineRule="atLeast" w:line="240"/>
        <w:rPr>
          <w:rFonts w:ascii="Times New Roman" w:hAnsi="Times New Roman" w:cs="Times New Roman"/>
          <w:b/>
          <w:color w:val="000000"/>
        </w:rPr>
      </w:pPr>
      <w:r>
        <w:rPr>
          <w:rFonts w:cs="Times New Roman" w:ascii="Times New Roman" w:hAnsi="Times New Roman"/>
          <w:b/>
          <w:color w:val="000000"/>
        </w:rPr>
      </w:r>
    </w:p>
    <w:p>
      <w:pPr>
        <w:pStyle w:val="Normal"/>
        <w:numPr>
          <w:ilvl w:val="0"/>
          <w:numId w:val="18"/>
        </w:numPr>
        <w:spacing w:lineRule="atLeast" w:line="240"/>
        <w:rPr>
          <w:rFonts w:ascii="Times New Roman" w:hAnsi="Times New Roman" w:cs="Times New Roman"/>
          <w:b/>
          <w:color w:val="000000"/>
        </w:rPr>
      </w:pPr>
      <w:r>
        <w:rPr>
          <w:rFonts w:cs="Times New Roman" w:ascii="Times New Roman" w:hAnsi="Times New Roman"/>
          <w:b/>
          <w:color w:val="000000"/>
        </w:rPr>
        <w:t>July 28 FERC Commission Meeting</w:t>
      </w:r>
    </w:p>
    <w:p>
      <w:pPr>
        <w:pStyle w:val="Normal"/>
        <w:numPr>
          <w:ilvl w:val="0"/>
          <w:numId w:val="9"/>
        </w:numPr>
        <w:tabs>
          <w:tab w:val="left" w:pos="540" w:leader="none"/>
          <w:tab w:val="left" w:pos="720" w:leader="none"/>
        </w:tabs>
        <w:spacing w:lineRule="atLeast" w:line="240"/>
        <w:ind w:hanging="360" w:start="720" w:end="0"/>
        <w:rPr>
          <w:rFonts w:ascii="Times New Roman" w:hAnsi="Times New Roman" w:cs="Times New Roman"/>
          <w:color w:val="000000"/>
        </w:rPr>
      </w:pPr>
      <w:r>
        <w:rPr>
          <w:rFonts w:cs="Times New Roman" w:ascii="Times New Roman" w:hAnsi="Times New Roman"/>
          <w:color w:val="000000"/>
        </w:rPr>
        <w:t>Chairman Hoecker announced that the Commission will soon be issuing its Electronic Filing Strategy plan.  The plan will include information exchange protocols.  A technical conference in September is expected.</w:t>
      </w:r>
    </w:p>
    <w:p>
      <w:pPr>
        <w:pStyle w:val="Normal"/>
        <w:numPr>
          <w:ilvl w:val="0"/>
          <w:numId w:val="11"/>
        </w:numPr>
        <w:tabs>
          <w:tab w:val="left" w:pos="540" w:leader="none"/>
          <w:tab w:val="left" w:pos="720" w:leader="none"/>
        </w:tabs>
        <w:spacing w:lineRule="atLeast" w:line="240"/>
        <w:ind w:hanging="360" w:start="720" w:end="0"/>
        <w:rPr>
          <w:rFonts w:ascii="Times New Roman" w:hAnsi="Times New Roman" w:cs="Times New Roman"/>
          <w:color w:val="000000"/>
        </w:rPr>
      </w:pPr>
      <w:r>
        <w:rPr>
          <w:rFonts w:cs="Times New Roman" w:ascii="Times New Roman" w:hAnsi="Times New Roman"/>
          <w:color w:val="000000"/>
        </w:rPr>
        <w:t>Several FERC staffers were recognized with service awards, including David Boergers, FERC secretary (30 years) and Marilyn Rand, OEP/certificates (over 30 years)</w:t>
      </w:r>
    </w:p>
    <w:p>
      <w:pPr>
        <w:pStyle w:val="Normal"/>
        <w:numPr>
          <w:ilvl w:val="0"/>
          <w:numId w:val="11"/>
        </w:numPr>
        <w:tabs>
          <w:tab w:val="left" w:pos="540" w:leader="none"/>
          <w:tab w:val="left" w:pos="720" w:leader="none"/>
        </w:tabs>
        <w:spacing w:lineRule="atLeast" w:line="240"/>
        <w:ind w:hanging="360" w:start="720" w:end="0"/>
        <w:rPr>
          <w:rFonts w:ascii="Times New Roman" w:hAnsi="Times New Roman" w:cs="Times New Roman"/>
          <w:color w:val="000000"/>
        </w:rPr>
      </w:pPr>
      <w:r>
        <w:rPr>
          <w:rFonts w:cs="Times New Roman" w:ascii="Times New Roman" w:hAnsi="Times New Roman"/>
          <w:color w:val="000000"/>
        </w:rPr>
        <w:t>Bill Lansinger, Deputy Director of OEP, is leaving the Commission to join Sempra.</w:t>
      </w:r>
    </w:p>
    <w:p>
      <w:pPr>
        <w:pStyle w:val="Normal"/>
        <w:numPr>
          <w:ilvl w:val="0"/>
          <w:numId w:val="6"/>
        </w:numPr>
        <w:tabs>
          <w:tab w:val="left" w:pos="540" w:leader="none"/>
          <w:tab w:val="left" w:pos="720" w:leader="none"/>
        </w:tabs>
        <w:spacing w:lineRule="atLeast" w:line="240"/>
        <w:ind w:hanging="360" w:start="720" w:end="0"/>
        <w:rPr>
          <w:rFonts w:ascii="Times New Roman" w:hAnsi="Times New Roman" w:cs="Times New Roman"/>
          <w:color w:val="000000"/>
        </w:rPr>
      </w:pPr>
      <w:r>
        <w:rPr>
          <w:rFonts w:cs="Times New Roman" w:ascii="Times New Roman" w:hAnsi="Times New Roman"/>
          <w:color w:val="000000"/>
        </w:rPr>
        <w:t>Scott Miller will join the Commission in OMTR - Market Monitoring on August 7.</w:t>
      </w:r>
    </w:p>
    <w:p>
      <w:pPr>
        <w:pStyle w:val="Normal"/>
        <w:spacing w:lineRule="atLeast" w:line="240"/>
        <w:rPr>
          <w:rFonts w:ascii="Times New Roman" w:hAnsi="Times New Roman" w:cs="Times New Roman"/>
          <w:color w:val="000000"/>
        </w:rPr>
      </w:pPr>
      <w:r>
        <w:rPr>
          <w:rFonts w:cs="Times New Roman" w:ascii="Times New Roman" w:hAnsi="Times New Roman"/>
          <w:color w:val="000000"/>
        </w:rPr>
      </w:r>
    </w:p>
    <w:p>
      <w:pPr>
        <w:pStyle w:val="Normal"/>
        <w:numPr>
          <w:ilvl w:val="0"/>
          <w:numId w:val="12"/>
        </w:numPr>
        <w:spacing w:lineRule="atLeast" w:line="240"/>
        <w:rPr>
          <w:rFonts w:ascii="Times New Roman" w:hAnsi="Times New Roman" w:cs="Times New Roman"/>
          <w:color w:val="000000"/>
        </w:rPr>
      </w:pPr>
      <w:r>
        <w:rPr>
          <w:rFonts w:cs="Times New Roman" w:ascii="Times New Roman" w:hAnsi="Times New Roman"/>
          <w:b/>
          <w:color w:val="000000"/>
        </w:rPr>
        <w:t>FERC Adopts Temporary Electric Price Caps</w:t>
      </w:r>
      <w:r>
        <w:rPr>
          <w:rFonts w:cs="Times New Roman" w:ascii="Times New Roman" w:hAnsi="Times New Roman"/>
          <w:color w:val="000000"/>
        </w:rPr>
        <w:t xml:space="preserve">. FERC adopted </w:t>
      </w:r>
      <w:r>
        <w:rPr>
          <w:rFonts w:cs="Times New Roman" w:ascii="Times New Roman" w:hAnsi="Times New Roman"/>
          <w:i/>
          <w:color w:val="000000"/>
        </w:rPr>
        <w:t>temporary</w:t>
      </w:r>
      <w:r>
        <w:rPr>
          <w:rFonts w:cs="Times New Roman" w:ascii="Times New Roman" w:hAnsi="Times New Roman"/>
          <w:color w:val="000000"/>
        </w:rPr>
        <w:t xml:space="preserve"> $1000 MWh bid caps for energy and reserves in both NEPOOL and the NY ISO through October 2000.   The cap is only in effect during periods when capacity is constrained.   The cap is even lower than the $1300 MWh cap requested by the NY ISO.  FERC's reasoning is that the markets are not yet competitive and this temporary cap will make all the regions consistent this summer (PJM already has a $1000 MWh cap).   Commissioner Massey commented on his belief that price caps are needed as a security blanket.  He cautions that price spikes this summer will undermine the electric restructuring debate in Congress.  Hebert strongly dissented to both orders</w:t>
      </w:r>
    </w:p>
    <w:p>
      <w:pPr>
        <w:pStyle w:val="Normal"/>
        <w:spacing w:lineRule="atLeast" w:line="240"/>
        <w:rPr>
          <w:rFonts w:ascii="Times New Roman" w:hAnsi="Times New Roman" w:cs="Times New Roman"/>
          <w:color w:val="000000"/>
        </w:rPr>
      </w:pPr>
      <w:r>
        <w:rPr>
          <w:rFonts w:cs="Times New Roman" w:ascii="Times New Roman" w:hAnsi="Times New Roman"/>
          <w:color w:val="000000"/>
        </w:rPr>
      </w:r>
    </w:p>
    <w:p>
      <w:pPr>
        <w:pStyle w:val="Normal"/>
        <w:numPr>
          <w:ilvl w:val="0"/>
          <w:numId w:val="7"/>
        </w:numPr>
        <w:spacing w:lineRule="atLeast" w:line="240"/>
        <w:rPr>
          <w:rFonts w:ascii="Times New Roman" w:hAnsi="Times New Roman" w:cs="Times New Roman"/>
          <w:color w:val="000000"/>
        </w:rPr>
      </w:pPr>
      <w:r>
        <w:rPr>
          <w:rFonts w:cs="Times New Roman" w:ascii="Times New Roman" w:hAnsi="Times New Roman"/>
          <w:b/>
          <w:color w:val="000000"/>
        </w:rPr>
        <w:t>FERC Orders Staff Investigation of Bulk Power Markets</w:t>
      </w:r>
      <w:r>
        <w:rPr>
          <w:rFonts w:cs="Times New Roman" w:ascii="Times New Roman" w:hAnsi="Times New Roman"/>
          <w:color w:val="000000"/>
        </w:rPr>
        <w:t>.  Staff is directed to undertake a fact-finding investigation to gather information on whether bulk power markets are working efficiently, including investigation of volatile price fluctuations. The report is due November 1.</w:t>
      </w:r>
    </w:p>
    <w:p>
      <w:pPr>
        <w:pStyle w:val="Normal"/>
        <w:tabs>
          <w:tab w:val="clear" w:pos="540"/>
        </w:tabs>
        <w:rPr>
          <w:rFonts w:ascii="Times New Roman" w:hAnsi="Times New Roman" w:cs="Times New Roman"/>
          <w:color w:val="000000"/>
        </w:rPr>
      </w:pPr>
      <w:r>
        <w:rPr>
          <w:rFonts w:cs="Times New Roman" w:ascii="Times New Roman" w:hAnsi="Times New Roman"/>
          <w:color w:val="000000"/>
        </w:rPr>
      </w:r>
    </w:p>
    <w:p>
      <w:pPr>
        <w:pStyle w:val="Normal"/>
        <w:numPr>
          <w:ilvl w:val="0"/>
          <w:numId w:val="12"/>
        </w:numPr>
        <w:spacing w:lineRule="atLeast" w:line="240"/>
        <w:rPr>
          <w:rFonts w:ascii="Times New Roman" w:hAnsi="Times New Roman" w:cs="Times New Roman"/>
          <w:color w:val="000000"/>
        </w:rPr>
      </w:pPr>
      <w:r>
        <w:rPr>
          <w:rFonts w:cs="Times New Roman" w:ascii="Times New Roman" w:hAnsi="Times New Roman"/>
          <w:b/>
          <w:color w:val="000000"/>
        </w:rPr>
        <w:t>FERC Delays Decision on Sierra Pacific/Nevada Power/Portland General Merger</w:t>
      </w:r>
      <w:r>
        <w:rPr>
          <w:rFonts w:cs="Times New Roman" w:ascii="Times New Roman" w:hAnsi="Times New Roman"/>
          <w:color w:val="000000"/>
        </w:rPr>
        <w:t>, EC00-63.</w:t>
      </w:r>
      <w:r>
        <w:rPr>
          <w:rFonts w:cs="Times New Roman" w:ascii="Times New Roman" w:hAnsi="Times New Roman"/>
          <w:b/>
          <w:color w:val="000000"/>
        </w:rPr>
        <w:t xml:space="preserve">  </w:t>
      </w:r>
      <w:r>
        <w:rPr>
          <w:rFonts w:cs="Times New Roman" w:ascii="Times New Roman" w:hAnsi="Times New Roman"/>
          <w:color w:val="000000"/>
        </w:rPr>
        <w:t xml:space="preserve">The Commission finds that the applicants’ analysis of the proposed merger’s vertical and horizontal market power is too limited for the Commission to determine whether the merger would adversely affect competition.  Applicants are directed to submit additional data within 30 days of the order.   In separate orders the Commission approved the NiSource/Columbia Energy merger (EC00-75) and the El Paso/Coastal merger (EC00-73).  The Utilicorp/Empire District Electric/St Joe Light &amp; Power merger was conditionally approved, subject to the filing of additional information (EC00-27 &amp; EC00-28). </w:t>
      </w:r>
    </w:p>
    <w:p>
      <w:pPr>
        <w:pStyle w:val="Normal"/>
        <w:spacing w:lineRule="atLeast" w:line="240"/>
        <w:rPr>
          <w:rFonts w:ascii="Times New Roman" w:hAnsi="Times New Roman" w:cs="Times New Roman"/>
          <w:b/>
          <w:color w:val="000000"/>
        </w:rPr>
      </w:pPr>
      <w:r>
        <w:rPr>
          <w:rFonts w:cs="Times New Roman" w:ascii="Times New Roman" w:hAnsi="Times New Roman"/>
          <w:b/>
          <w:color w:val="000000"/>
        </w:rPr>
      </w:r>
    </w:p>
    <w:p>
      <w:pPr>
        <w:pStyle w:val="Normal"/>
        <w:numPr>
          <w:ilvl w:val="0"/>
          <w:numId w:val="10"/>
        </w:numPr>
        <w:spacing w:lineRule="atLeast" w:line="240"/>
        <w:rPr>
          <w:rFonts w:ascii="Times New Roman" w:hAnsi="Times New Roman" w:cs="Times New Roman"/>
          <w:color w:val="000000"/>
        </w:rPr>
      </w:pPr>
      <w:r>
        <w:rPr>
          <w:rFonts w:cs="Times New Roman" w:ascii="Times New Roman" w:hAnsi="Times New Roman"/>
          <w:b/>
          <w:color w:val="000000"/>
        </w:rPr>
        <w:t>New ADR Procedures for Initial Prehearing Conferences</w:t>
      </w:r>
      <w:r>
        <w:rPr>
          <w:rFonts w:cs="Times New Roman" w:ascii="Times New Roman" w:hAnsi="Times New Roman"/>
          <w:color w:val="000000"/>
        </w:rPr>
        <w:t xml:space="preserve">.  FERC issued a notice stating that at all future initial prehearing conferences the presiding judge will advise the parties of available ADR procedures and take a recess so that the parties and the Commission trial staff can explore off-the-record the possibility of using ADR.  All parties must be prepared to discuss the use of ADR in the proceeding.  </w:t>
      </w:r>
    </w:p>
    <w:p>
      <w:pPr>
        <w:pStyle w:val="Normal"/>
        <w:spacing w:lineRule="atLeast" w:line="240"/>
        <w:rPr>
          <w:rFonts w:ascii="Times New Roman" w:hAnsi="Times New Roman" w:cs="Times New Roman"/>
          <w:color w:val="000000"/>
        </w:rPr>
      </w:pPr>
      <w:r>
        <w:rPr>
          <w:rFonts w:cs="Times New Roman" w:ascii="Times New Roman" w:hAnsi="Times New Roman"/>
          <w:color w:val="000000"/>
        </w:rPr>
      </w:r>
    </w:p>
    <w:p>
      <w:pPr>
        <w:pStyle w:val="Normal"/>
        <w:tabs>
          <w:tab w:val="clear" w:pos="540"/>
        </w:tabs>
        <w:ind w:start="720" w:end="0"/>
        <w:rPr>
          <w:rFonts w:ascii="Times New Roman" w:hAnsi="Times New Roman" w:cs="Times New Roman"/>
          <w:color w:val="000000"/>
        </w:rPr>
      </w:pPr>
      <w:r>
        <w:rPr>
          <w:rFonts w:cs="Times New Roman" w:ascii="Times New Roman" w:hAnsi="Times New Roman"/>
          <w:color w:val="000000"/>
        </w:rPr>
      </w:r>
    </w:p>
    <w:p>
      <w:pPr>
        <w:pStyle w:val="Normal"/>
        <w:tabs>
          <w:tab w:val="clear" w:pos="540"/>
        </w:tabs>
        <w:jc w:val="center"/>
        <w:rPr>
          <w:rFonts w:ascii="Times New Roman" w:hAnsi="Times New Roman" w:cs="Times New Roman"/>
          <w:b/>
        </w:rPr>
      </w:pPr>
      <w:r>
        <w:rPr>
          <w:rFonts w:cs="Times New Roman" w:ascii="Times New Roman" w:hAnsi="Times New Roman"/>
          <w:b/>
        </w:rPr>
        <w:t>FERC Rulemaking</w:t>
      </w:r>
    </w:p>
    <w:p>
      <w:pPr>
        <w:pStyle w:val="Normal"/>
        <w:spacing w:lineRule="atLeast" w:line="240"/>
        <w:rPr>
          <w:rFonts w:ascii="Times New Roman" w:hAnsi="Times New Roman" w:cs="Times New Roman"/>
          <w:b/>
          <w:color w:val="000000"/>
        </w:rPr>
      </w:pPr>
      <w:r>
        <w:rPr>
          <w:rFonts w:cs="Times New Roman" w:ascii="Times New Roman" w:hAnsi="Times New Roman"/>
          <w:b/>
          <w:color w:val="000000"/>
        </w:rPr>
      </w:r>
    </w:p>
    <w:p>
      <w:pPr>
        <w:pStyle w:val="Normal"/>
        <w:numPr>
          <w:ilvl w:val="0"/>
          <w:numId w:val="8"/>
        </w:numPr>
        <w:tabs>
          <w:tab w:val="clear" w:pos="540"/>
        </w:tabs>
        <w:rPr>
          <w:rFonts w:ascii="Times New Roman" w:hAnsi="Times New Roman" w:cs="Times New Roman"/>
        </w:rPr>
      </w:pPr>
      <w:r>
        <w:rPr>
          <w:rFonts w:cs="Times New Roman" w:ascii="Times New Roman" w:hAnsi="Times New Roman"/>
          <w:b/>
          <w:color w:val="000000"/>
        </w:rPr>
        <w:t>Order 637-B</w:t>
      </w:r>
      <w:r>
        <w:rPr>
          <w:rFonts w:cs="Times New Roman" w:ascii="Times New Roman" w:hAnsi="Times New Roman"/>
          <w:color w:val="000000"/>
        </w:rPr>
        <w:t xml:space="preserve">.  The order denies requests for rehearing of Order No. 637-A and generally denies requests for clarification with a few exceptions.  First, Commission clarifies that it did not intend to change the rules regarding selective discounting.  Pipelines are still able to offer a discount to a particular customer with competitive options without offering the discount to customers who are not similarly situated.  Second, the Commission clarifies that negotiated rate agreements entered prior to the issuance of Order No. 637 will have grandfathered ROFR rights, similar to the grandfathered status of existing discount agreements.   However, new negotiated rate agreements will not enjoy regulatory ROFR rights.  Third, the Commission reiterates that for purposes of segmentation policy, a shipper using a forwardhaul and a backhaul to bring gas to a delivery point in an amount that exceeds its contract demand is not overlapping the mainline capacity.  This is the point on which Commissioner Breathitt dissented.  She believes that this will interfere with capacity release rights and is a departure from the policy of no overlapping points or segments announced in </w:t>
      </w:r>
      <w:r>
        <w:rPr>
          <w:rFonts w:cs="Times New Roman" w:ascii="Times New Roman" w:hAnsi="Times New Roman"/>
          <w:i/>
          <w:color w:val="000000"/>
        </w:rPr>
        <w:t>Tennessee</w:t>
      </w:r>
      <w:r>
        <w:rPr>
          <w:rFonts w:cs="Times New Roman" w:ascii="Times New Roman" w:hAnsi="Times New Roman"/>
          <w:color w:val="000000"/>
        </w:rPr>
        <w:t xml:space="preserve"> and </w:t>
      </w:r>
      <w:r>
        <w:rPr>
          <w:rFonts w:cs="Times New Roman" w:ascii="Times New Roman" w:hAnsi="Times New Roman"/>
          <w:i/>
          <w:color w:val="000000"/>
        </w:rPr>
        <w:t>Iroquois</w:t>
      </w:r>
      <w:r>
        <w:rPr>
          <w:rFonts w:cs="Times New Roman" w:ascii="Times New Roman" w:hAnsi="Times New Roman"/>
          <w:color w:val="000000"/>
        </w:rPr>
        <w:t xml:space="preserve"> cases.   The Commission refused the LDCs requests to exempt capacity release transactions from posting and bidding.  Finally, the Commission reaffirms its intention to implement a generic within-the-path scheduling priority without regard to existing rate design and zone structures.</w:t>
      </w:r>
    </w:p>
    <w:p>
      <w:pPr>
        <w:pStyle w:val="Normal"/>
        <w:tabs>
          <w:tab w:val="clear" w:pos="540"/>
        </w:tabs>
        <w:jc w:val="center"/>
        <w:rPr>
          <w:rFonts w:ascii="Times New Roman" w:hAnsi="Times New Roman" w:cs="Times New Roman"/>
          <w:b/>
        </w:rPr>
      </w:pPr>
      <w:r>
        <w:rPr>
          <w:rFonts w:cs="Times New Roman" w:ascii="Times New Roman" w:hAnsi="Times New Roman"/>
          <w:b/>
        </w:rPr>
      </w:r>
    </w:p>
    <w:p>
      <w:pPr>
        <w:pStyle w:val="Normal"/>
        <w:numPr>
          <w:ilvl w:val="0"/>
          <w:numId w:val="13"/>
        </w:numPr>
        <w:spacing w:lineRule="atLeast" w:line="240"/>
        <w:rPr>
          <w:rFonts w:ascii="Times New Roman" w:hAnsi="Times New Roman" w:cs="Times New Roman"/>
          <w:b/>
          <w:color w:val="000000"/>
        </w:rPr>
      </w:pPr>
      <w:r>
        <w:rPr>
          <w:rFonts w:cs="Times New Roman" w:ascii="Times New Roman" w:hAnsi="Times New Roman"/>
          <w:b/>
          <w:color w:val="000000"/>
        </w:rPr>
        <w:t>Order No. 639-A - Rehearing of OCSLA Reporting Rules</w:t>
      </w:r>
      <w:r>
        <w:rPr>
          <w:rFonts w:cs="Times New Roman" w:ascii="Times New Roman" w:hAnsi="Times New Roman"/>
          <w:color w:val="000000"/>
        </w:rPr>
        <w:t>, RM99-5-001.  Order No. 639 required NGA-exempt Outer Continental Shelf transportation service providers to make available information regarding affiliations and the conditions under which service is rendered.   A number of parties sought rehearing of these new reporting requirements, some complaining that the new reporting is burdensome and will divulge confidential data, some seeking more extensive and more timely data.   On rehearing the Commission make several changes to the rules.  First, the timing of reports is changed from the first day of a calendar quarter to 15 days after the close of a calendar quarter.  However, the report must reflect the provider’s status on the last day of the preceding quarter and describe all changes to a service provider’s affiliates, customers, rates, conditions of service, and facilities that have occurred during the course of that quarter.   Thus, reports are due on April 15, July 15, October 15 and January 15, with the initial report due on October 16, 2000.  Second, when an exempt OCS service provider becomes subject to reporting, it must file a report on the 15</w:t>
      </w:r>
      <w:r>
        <w:rPr>
          <w:rFonts w:cs="Times New Roman" w:ascii="Times New Roman" w:hAnsi="Times New Roman"/>
          <w:color w:val="000000"/>
          <w:vertAlign w:val="superscript"/>
        </w:rPr>
        <w:t>th</w:t>
      </w:r>
      <w:r>
        <w:rPr>
          <w:rFonts w:cs="Times New Roman" w:ascii="Times New Roman" w:hAnsi="Times New Roman"/>
          <w:color w:val="000000"/>
        </w:rPr>
        <w:t xml:space="preserve"> day of the subsequent quarter (the rules continue to exempt single-shipper, owner-shipper and feeder-line providers). Third, the regulations are expanded to require service providers to report rates between each pair of primary receipt and delivery points served.  Finally, the Commission clarifies that if there is no change during a given quarter, then there is no need to file a report.   Because FGT and NNG offshore facilities continue to be included in NGA reporting, neither pipeline anticipates making OCS reports at this time.  </w:t>
      </w:r>
    </w:p>
    <w:p>
      <w:pPr>
        <w:pStyle w:val="Normal"/>
        <w:spacing w:lineRule="atLeast" w:line="240"/>
        <w:rPr>
          <w:rFonts w:ascii="Times New Roman" w:hAnsi="Times New Roman" w:cs="Times New Roman"/>
          <w:b/>
          <w:color w:val="000000"/>
        </w:rPr>
      </w:pPr>
      <w:r>
        <w:rPr>
          <w:rFonts w:cs="Times New Roman" w:ascii="Times New Roman" w:hAnsi="Times New Roman"/>
          <w:b/>
          <w:color w:val="000000"/>
        </w:rPr>
      </w:r>
    </w:p>
    <w:p>
      <w:pPr>
        <w:pStyle w:val="Normal"/>
        <w:numPr>
          <w:ilvl w:val="0"/>
          <w:numId w:val="13"/>
        </w:numPr>
        <w:spacing w:lineRule="atLeast" w:line="240"/>
        <w:rPr>
          <w:rFonts w:ascii="Times New Roman" w:hAnsi="Times New Roman" w:cs="Times New Roman"/>
          <w:color w:val="000000"/>
        </w:rPr>
      </w:pPr>
      <w:r>
        <w:rPr>
          <w:rFonts w:cs="Times New Roman" w:ascii="Times New Roman" w:hAnsi="Times New Roman"/>
          <w:b/>
          <w:color w:val="000000"/>
        </w:rPr>
        <w:t>NOI to Study Continued Use of Indexing to Set Oil Pipeline Rates.</w:t>
      </w:r>
      <w:r>
        <w:rPr>
          <w:rFonts w:cs="Times New Roman" w:ascii="Times New Roman" w:hAnsi="Times New Roman"/>
          <w:color w:val="000000"/>
        </w:rPr>
        <w:t xml:space="preserve">   When FERC established a PPI-1% annual index formula for setting oil pipeline rates, FERC committed to review the index methodology after 5 years.  Staff prepared a report that concludes, based on Form 6 data, that the index reasonably tracks actual oil pipeline expenses.  The NOI seeks comments on the Staff report.  Chairmen Hoecker expects that any decision on changing the indexing method would be made by Spring 2001, in time for the next published index.  Commissioner Breathitt commented that she not only wants comments on the Staff report, but also on whether the PPI is the proper index and about the implications when the index is negative (which it has been for 2 out of the 5 years).</w:t>
      </w:r>
    </w:p>
    <w:p>
      <w:pPr>
        <w:pStyle w:val="Normal"/>
        <w:spacing w:lineRule="atLeast" w:line="240"/>
        <w:rPr>
          <w:rFonts w:ascii="Times New Roman" w:hAnsi="Times New Roman" w:cs="Times New Roman"/>
          <w:color w:val="000000"/>
        </w:rPr>
      </w:pPr>
      <w:r>
        <w:rPr>
          <w:rFonts w:cs="Times New Roman" w:ascii="Times New Roman" w:hAnsi="Times New Roman"/>
          <w:color w:val="000000"/>
        </w:rPr>
      </w:r>
    </w:p>
    <w:p>
      <w:pPr>
        <w:pStyle w:val="Normal"/>
        <w:tabs>
          <w:tab w:val="clear" w:pos="540"/>
        </w:tabs>
        <w:jc w:val="center"/>
        <w:rPr>
          <w:rFonts w:ascii="Times New Roman" w:hAnsi="Times New Roman" w:cs="Times New Roman"/>
          <w:b/>
          <w:color w:val="000000"/>
        </w:rPr>
      </w:pPr>
      <w:r>
        <w:rPr>
          <w:rFonts w:cs="Times New Roman" w:ascii="Times New Roman" w:hAnsi="Times New Roman"/>
          <w:b/>
          <w:color w:val="000000"/>
        </w:rPr>
      </w:r>
    </w:p>
    <w:p>
      <w:pPr>
        <w:pStyle w:val="Heading2"/>
        <w:ind w:hanging="0" w:start="0"/>
        <w:rPr/>
      </w:pPr>
      <w:r>
        <w:rPr/>
        <w:t>GPG-Related FERC Orders and Filings</w:t>
      </w:r>
    </w:p>
    <w:p>
      <w:pPr>
        <w:pStyle w:val="Normal"/>
        <w:tabs>
          <w:tab w:val="clear" w:pos="540"/>
        </w:tabs>
        <w:rPr>
          <w:rFonts w:ascii="Times New Roman" w:hAnsi="Times New Roman" w:cs="Times New Roman"/>
          <w:b/>
        </w:rPr>
      </w:pPr>
      <w:r>
        <w:rPr>
          <w:rFonts w:cs="Times New Roman" w:ascii="Times New Roman" w:hAnsi="Times New Roman"/>
          <w:b/>
        </w:rPr>
      </w:r>
    </w:p>
    <w:p>
      <w:pPr>
        <w:pStyle w:val="Normal"/>
        <w:tabs>
          <w:tab w:val="clear" w:pos="540"/>
        </w:tabs>
        <w:rPr>
          <w:rFonts w:ascii="Times New Roman" w:hAnsi="Times New Roman" w:cs="Times New Roman"/>
        </w:rPr>
      </w:pPr>
      <w:r>
        <w:rPr>
          <w:rFonts w:cs="Times New Roman" w:ascii="Times New Roman" w:hAnsi="Times New Roman"/>
          <w:b/>
        </w:rPr>
        <w:t>NNG</w:t>
      </w:r>
    </w:p>
    <w:p>
      <w:pPr>
        <w:pStyle w:val="Normal"/>
        <w:numPr>
          <w:ilvl w:val="0"/>
          <w:numId w:val="2"/>
        </w:numPr>
        <w:tabs>
          <w:tab w:val="clear" w:pos="540"/>
        </w:tabs>
        <w:rPr>
          <w:rFonts w:ascii="Times New Roman" w:hAnsi="Times New Roman" w:cs="Times New Roman"/>
        </w:rPr>
      </w:pPr>
      <w:r>
        <w:rPr>
          <w:rFonts w:cs="Times New Roman" w:ascii="Times New Roman" w:hAnsi="Times New Roman"/>
        </w:rPr>
        <w:t>Acceptance of tariff sheet including two new negotiated rate agreements with Engage Energy US and Dynegy Marketing and Trade, RP96-272-015.</w:t>
      </w:r>
    </w:p>
    <w:p>
      <w:pPr>
        <w:pStyle w:val="Normal"/>
        <w:numPr>
          <w:ilvl w:val="0"/>
          <w:numId w:val="2"/>
        </w:numPr>
        <w:tabs>
          <w:tab w:val="clear" w:pos="540"/>
        </w:tabs>
        <w:rPr>
          <w:rFonts w:ascii="Times New Roman" w:hAnsi="Times New Roman" w:cs="Times New Roman"/>
        </w:rPr>
      </w:pPr>
      <w:r>
        <w:rPr>
          <w:rFonts w:cs="Times New Roman" w:ascii="Times New Roman" w:hAnsi="Times New Roman"/>
        </w:rPr>
        <w:t>Approval to abandon in-place a 1500 Ft section of pipeline between mileposts 36.74 and 37.03, CP99-75.</w:t>
      </w:r>
    </w:p>
    <w:p>
      <w:pPr>
        <w:pStyle w:val="Normal"/>
        <w:numPr>
          <w:ilvl w:val="0"/>
          <w:numId w:val="2"/>
        </w:numPr>
        <w:tabs>
          <w:tab w:val="clear" w:pos="540"/>
        </w:tabs>
        <w:rPr>
          <w:rFonts w:ascii="Times New Roman" w:hAnsi="Times New Roman" w:cs="Times New Roman"/>
          <w:b/>
        </w:rPr>
      </w:pPr>
      <w:r>
        <w:rPr>
          <w:rFonts w:cs="Times New Roman" w:ascii="Times New Roman" w:hAnsi="Times New Roman"/>
        </w:rPr>
        <w:t>Order accepting revisions to tariff to allow ROFR for (1) maximum rate contracts, (2) grandfathered discount agreements and (3) on a mutually agreeable basis, consistent with Order Nos. 637 and 637-A.  The Commission declined as premature Northern’s proposal that the ROFR matching rate may be higher than the existing matching rate if an incremental rate exists on the system, RP00-370.  The tariff sheets are to be revised accordingly within 15 days.</w:t>
      </w:r>
    </w:p>
    <w:p>
      <w:pPr>
        <w:pStyle w:val="Normal"/>
        <w:tabs>
          <w:tab w:val="clear" w:pos="540"/>
        </w:tabs>
        <w:rPr>
          <w:rFonts w:ascii="Times New Roman" w:hAnsi="Times New Roman" w:cs="Times New Roman"/>
          <w:b/>
        </w:rPr>
      </w:pPr>
      <w:r>
        <w:rPr>
          <w:rFonts w:cs="Times New Roman" w:ascii="Times New Roman" w:hAnsi="Times New Roman"/>
          <w:b/>
        </w:rPr>
      </w:r>
    </w:p>
    <w:p>
      <w:pPr>
        <w:pStyle w:val="Heading4"/>
        <w:ind w:hanging="0" w:start="0"/>
        <w:rPr/>
      </w:pPr>
      <w:r>
        <w:rPr/>
        <w:t>Northern Border</w:t>
      </w:r>
    </w:p>
    <w:p>
      <w:pPr>
        <w:pStyle w:val="Normal"/>
        <w:numPr>
          <w:ilvl w:val="0"/>
          <w:numId w:val="4"/>
        </w:numPr>
        <w:tabs>
          <w:tab w:val="clear" w:pos="540"/>
        </w:tabs>
        <w:rPr>
          <w:rFonts w:ascii="Times New Roman" w:hAnsi="Times New Roman" w:cs="Times New Roman"/>
        </w:rPr>
      </w:pPr>
      <w:r>
        <w:rPr>
          <w:rFonts w:cs="Times New Roman" w:ascii="Times New Roman" w:hAnsi="Times New Roman"/>
        </w:rPr>
        <w:t>Acceptance of tariff sheets subject to conditions, RP00-371.</w:t>
      </w:r>
      <w:r>
        <w:rPr>
          <w:rFonts w:cs="Times New Roman" w:ascii="Times New Roman" w:hAnsi="Times New Roman"/>
          <w:b/>
        </w:rPr>
        <w:t xml:space="preserve">  </w:t>
      </w:r>
      <w:r>
        <w:rPr>
          <w:rFonts w:cs="Times New Roman" w:ascii="Times New Roman" w:hAnsi="Times New Roman"/>
        </w:rPr>
        <w:t xml:space="preserve">These tariff sheets revise capacity release and ROFR provisions consistent with Order No. 637.  Northern Border is required to clarify certain tariff sheets within 15 days. </w:t>
      </w:r>
    </w:p>
    <w:p>
      <w:pPr>
        <w:pStyle w:val="Normal"/>
        <w:tabs>
          <w:tab w:val="clear" w:pos="540"/>
        </w:tabs>
        <w:rPr>
          <w:rFonts w:ascii="Times New Roman" w:hAnsi="Times New Roman" w:cs="Times New Roman"/>
          <w:b/>
        </w:rPr>
      </w:pPr>
      <w:r>
        <w:rPr>
          <w:rFonts w:cs="Times New Roman" w:ascii="Times New Roman" w:hAnsi="Times New Roman"/>
          <w:b/>
        </w:rPr>
      </w:r>
    </w:p>
    <w:p>
      <w:pPr>
        <w:pStyle w:val="Normal"/>
        <w:tabs>
          <w:tab w:val="clear" w:pos="540"/>
        </w:tabs>
        <w:rPr>
          <w:rFonts w:ascii="Times New Roman" w:hAnsi="Times New Roman" w:cs="Times New Roman"/>
          <w:b/>
        </w:rPr>
      </w:pPr>
      <w:r>
        <w:rPr>
          <w:rFonts w:cs="Times New Roman" w:ascii="Times New Roman" w:hAnsi="Times New Roman"/>
          <w:b/>
        </w:rPr>
      </w:r>
    </w:p>
    <w:p>
      <w:pPr>
        <w:pStyle w:val="Heading4"/>
        <w:ind w:hanging="0" w:start="0"/>
        <w:jc w:val="center"/>
        <w:rPr/>
      </w:pPr>
      <w:r>
        <w:rPr/>
        <w:t>Specific FERC Cases</w:t>
      </w:r>
    </w:p>
    <w:p>
      <w:pPr>
        <w:pStyle w:val="Normal"/>
        <w:tabs>
          <w:tab w:val="clear" w:pos="540"/>
        </w:tabs>
        <w:jc w:val="center"/>
        <w:rPr>
          <w:rFonts w:ascii="Times New Roman" w:hAnsi="Times New Roman" w:cs="Times New Roman"/>
          <w:b/>
        </w:rPr>
      </w:pPr>
      <w:r>
        <w:rPr>
          <w:rFonts w:cs="Times New Roman" w:ascii="Times New Roman" w:hAnsi="Times New Roman"/>
          <w:b/>
        </w:rPr>
      </w:r>
    </w:p>
    <w:p>
      <w:pPr>
        <w:pStyle w:val="Normal"/>
        <w:numPr>
          <w:ilvl w:val="0"/>
          <w:numId w:val="16"/>
        </w:numPr>
        <w:tabs>
          <w:tab w:val="clear" w:pos="540"/>
        </w:tabs>
        <w:rPr>
          <w:rFonts w:ascii="Times New Roman" w:hAnsi="Times New Roman" w:cs="Times New Roman"/>
        </w:rPr>
      </w:pPr>
      <w:r>
        <w:rPr>
          <w:rFonts w:cs="Times New Roman" w:ascii="Times New Roman" w:hAnsi="Times New Roman"/>
          <w:b/>
        </w:rPr>
        <w:t>Commission Denies Rehearing of Order Finding Sea Robin System Partially Gathering, Partially Transmission</w:t>
      </w:r>
      <w:r>
        <w:rPr>
          <w:rFonts w:cs="Times New Roman" w:ascii="Times New Roman" w:hAnsi="Times New Roman"/>
        </w:rPr>
        <w:t>, CP95-168-003.  On June 30,1999, the Commission issued an order on remand from the 5</w:t>
      </w:r>
      <w:r>
        <w:rPr>
          <w:rFonts w:cs="Times New Roman" w:ascii="Times New Roman" w:hAnsi="Times New Roman"/>
          <w:vertAlign w:val="superscript"/>
        </w:rPr>
        <w:t>th</w:t>
      </w:r>
      <w:r>
        <w:rPr>
          <w:rFonts w:cs="Times New Roman" w:ascii="Times New Roman" w:hAnsi="Times New Roman"/>
        </w:rPr>
        <w:t xml:space="preserve"> Circuit determining that under the primary function test, as reformulated in light of the Court’s decision, Sea Robin’s facilities upstream of the Vermilion 149 Compressor Station are NGA-exempt gathering and downstream are transmission.  This followed the Court’s suggestion that the demarcation point between gathering and transmission could be a point internal to an overall system.  In a nutshell, the primary function test was reformulated to (1) take into account the existence of a centralized aggregation points, (2) state that the location of processing plants is not necessarily determinative, and (3) focus on physical factors.  In this rehearing order, the Commission reaffirms the findings in the June 30 order.  The Commission notes that is concurrently issuing an order on rehearing of Order No. 639 and that such rule will required all NGA-exempt OCS facilities to make available information regarding affiliation and terms of service. </w:t>
      </w:r>
    </w:p>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Normal"/>
        <w:numPr>
          <w:ilvl w:val="0"/>
          <w:numId w:val="16"/>
        </w:numPr>
        <w:tabs>
          <w:tab w:val="clear" w:pos="540"/>
        </w:tabs>
        <w:rPr>
          <w:rFonts w:ascii="Times New Roman" w:hAnsi="Times New Roman" w:cs="Times New Roman"/>
        </w:rPr>
      </w:pPr>
      <w:r>
        <w:rPr>
          <w:rFonts w:cs="Times New Roman" w:ascii="Times New Roman" w:hAnsi="Times New Roman"/>
          <w:b/>
        </w:rPr>
        <w:t>Koch Interruptible Storage and Park and Lending Auction Accepted, Subject to Conditions</w:t>
      </w:r>
      <w:r>
        <w:rPr>
          <w:rFonts w:cs="Times New Roman" w:ascii="Times New Roman" w:hAnsi="Times New Roman"/>
        </w:rPr>
        <w:t>, RP00-359.</w:t>
      </w:r>
      <w:r>
        <w:rPr>
          <w:rFonts w:cs="Times New Roman" w:ascii="Times New Roman" w:hAnsi="Times New Roman"/>
          <w:b/>
        </w:rPr>
        <w:t xml:space="preserve">  </w:t>
      </w:r>
      <w:r>
        <w:rPr>
          <w:rFonts w:cs="Times New Roman" w:ascii="Times New Roman" w:hAnsi="Times New Roman"/>
        </w:rPr>
        <w:t>The Commission accepted Koch’s proposal to expand use of its current interactive auction for its market-based Firm Storage Service (FSS) approved in RP99-455.  ISS and PAL service are currently sold through telephone negotiations.  The interactive auction will allow ISS and PAL to be sold in a 10-minute bidding period.  Koch is directed to explain how recourse and negotiated rate forms will be compared in the bid evaluation.</w:t>
      </w:r>
    </w:p>
    <w:p>
      <w:pPr>
        <w:pStyle w:val="Normal"/>
        <w:tabs>
          <w:tab w:val="clear" w:pos="540"/>
        </w:tabs>
        <w:rPr>
          <w:rFonts w:ascii="Times New Roman" w:hAnsi="Times New Roman" w:cs="Times New Roman"/>
          <w:b/>
        </w:rPr>
      </w:pPr>
      <w:r>
        <w:rPr>
          <w:rFonts w:cs="Times New Roman" w:ascii="Times New Roman" w:hAnsi="Times New Roman"/>
          <w:b/>
        </w:rPr>
      </w:r>
    </w:p>
    <w:p>
      <w:pPr>
        <w:pStyle w:val="Normal"/>
        <w:numPr>
          <w:ilvl w:val="0"/>
          <w:numId w:val="16"/>
        </w:numPr>
        <w:tabs>
          <w:tab w:val="clear" w:pos="540"/>
        </w:tabs>
        <w:rPr>
          <w:rFonts w:ascii="Times New Roman" w:hAnsi="Times New Roman" w:cs="Times New Roman"/>
        </w:rPr>
      </w:pPr>
      <w:r>
        <w:rPr>
          <w:rFonts w:cs="Times New Roman" w:ascii="Times New Roman" w:hAnsi="Times New Roman"/>
          <w:b/>
        </w:rPr>
        <w:t xml:space="preserve">Revised Columbia Gas’ Discount and Negotiated Rate Provisions Reflect Updated State of Commission Policy, RP00-354.  </w:t>
      </w:r>
      <w:r>
        <w:rPr>
          <w:rFonts w:cs="Times New Roman" w:ascii="Times New Roman" w:hAnsi="Times New Roman"/>
        </w:rPr>
        <w:t xml:space="preserve">The Commission accepted with a few conditions, Columbia’s proposal to update its discount and negotiated rate provisions consistent with recent Commission decisions.  First, consistent with </w:t>
      </w:r>
      <w:r>
        <w:rPr>
          <w:rFonts w:cs="Times New Roman" w:ascii="Times New Roman" w:hAnsi="Times New Roman"/>
          <w:i/>
        </w:rPr>
        <w:t>Panhandle</w:t>
      </w:r>
      <w:r>
        <w:rPr>
          <w:rFonts w:cs="Times New Roman" w:ascii="Times New Roman" w:hAnsi="Times New Roman"/>
        </w:rPr>
        <w:t xml:space="preserve">, 90 FERC ¶ 61,031 (2000), </w:t>
      </w:r>
      <w:r>
        <w:rPr>
          <w:rFonts w:cs="Times New Roman" w:ascii="Times New Roman" w:hAnsi="Times New Roman"/>
          <w:i/>
        </w:rPr>
        <w:t>Trunkline</w:t>
      </w:r>
      <w:r>
        <w:rPr>
          <w:rFonts w:cs="Times New Roman" w:ascii="Times New Roman" w:hAnsi="Times New Roman"/>
        </w:rPr>
        <w:t>, 90 FERC ¶ 61,027 (2000),</w:t>
      </w:r>
      <w:r>
        <w:rPr>
          <w:rFonts w:cs="Times New Roman" w:ascii="Times New Roman" w:hAnsi="Times New Roman"/>
          <w:i/>
        </w:rPr>
        <w:t xml:space="preserve"> </w:t>
      </w:r>
      <w:r>
        <w:rPr>
          <w:rFonts w:cs="Times New Roman" w:ascii="Times New Roman" w:hAnsi="Times New Roman"/>
        </w:rPr>
        <w:t xml:space="preserve">and </w:t>
      </w:r>
      <w:r>
        <w:rPr>
          <w:rFonts w:cs="Times New Roman" w:ascii="Times New Roman" w:hAnsi="Times New Roman"/>
          <w:i/>
        </w:rPr>
        <w:t>ANR</w:t>
      </w:r>
      <w:r>
        <w:rPr>
          <w:rFonts w:cs="Times New Roman" w:ascii="Times New Roman" w:hAnsi="Times New Roman"/>
        </w:rPr>
        <w:t xml:space="preserve">, 91 FERC ¶ 61,349 (2000, Columbia adds tariff language that discount agreements may provide for upward or downward adjustments to rate components to achieve an agreed upon overall rate so long as all rate components remain within their respective minimum and maximum amounts.  Second, Columbia provides for a modified payment and revenue crediting mechanisms if capacity subject to a negotiated rate is subsequently released, consistent with </w:t>
      </w:r>
      <w:r>
        <w:rPr>
          <w:rFonts w:cs="Times New Roman" w:ascii="Times New Roman" w:hAnsi="Times New Roman"/>
          <w:i/>
        </w:rPr>
        <w:t>Transco</w:t>
      </w:r>
      <w:r>
        <w:rPr>
          <w:rFonts w:cs="Times New Roman" w:ascii="Times New Roman" w:hAnsi="Times New Roman"/>
        </w:rPr>
        <w:t xml:space="preserve">, 88 FERC ¶ 61,311 (1999).  Protestors argued that the revenue sharing mechanisms amounted to impermissible negotiated terms.  The Commission disagreed, but conditioned acceptance of the revenue sharing provisions on Columbia filing a set of provisions that apply to negotiated rate transactions and filing agreements with revenue sharing mechanisms as non-conforming agreements under Sections 154.1(d) and 154.112(b) of the regulations.  Third, Columbia adds language permitting it to seek a discount-type adjustment in a future rate case for services that are converted from pre-existing discounted agreements to negotiated rate agreements consistent with </w:t>
      </w:r>
      <w:r>
        <w:rPr>
          <w:rFonts w:cs="Times New Roman" w:ascii="Times New Roman" w:hAnsi="Times New Roman"/>
          <w:i/>
        </w:rPr>
        <w:t>Transco</w:t>
      </w:r>
      <w:r>
        <w:rPr>
          <w:rFonts w:cs="Times New Roman" w:ascii="Times New Roman" w:hAnsi="Times New Roman"/>
        </w:rPr>
        <w:t xml:space="preserve">.  The Commission states that, like discounted affiliate transactions, Columbia must show the adjustment was necessary to meet competition.  Finally, Columbia proposes to negotiate the retainage and surcharge components of its rates.  The Commission requires Columbia to credit full recourse surcharge and retention amounts. </w:t>
      </w:r>
    </w:p>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Normal"/>
        <w:numPr>
          <w:ilvl w:val="0"/>
          <w:numId w:val="16"/>
        </w:numPr>
        <w:tabs>
          <w:tab w:val="clear" w:pos="540"/>
        </w:tabs>
        <w:rPr>
          <w:rFonts w:ascii="Times New Roman" w:hAnsi="Times New Roman" w:cs="Times New Roman"/>
          <w:b/>
        </w:rPr>
      </w:pPr>
      <w:r>
        <w:rPr>
          <w:rFonts w:cs="Times New Roman" w:ascii="Times New Roman" w:hAnsi="Times New Roman"/>
          <w:b/>
        </w:rPr>
        <w:t>NGPL Flexible Firm Transportation Service Approved</w:t>
      </w:r>
      <w:r>
        <w:rPr>
          <w:rFonts w:cs="Times New Roman" w:ascii="Times New Roman" w:hAnsi="Times New Roman"/>
        </w:rPr>
        <w:t xml:space="preserve">, RP00-363. </w:t>
      </w:r>
      <w:r>
        <w:rPr>
          <w:rFonts w:cs="Times New Roman" w:ascii="Times New Roman" w:hAnsi="Times New Roman"/>
          <w:b/>
        </w:rPr>
        <w:t xml:space="preserve">  </w:t>
      </w:r>
      <w:r>
        <w:rPr>
          <w:rFonts w:cs="Times New Roman" w:ascii="Times New Roman" w:hAnsi="Times New Roman"/>
        </w:rPr>
        <w:t xml:space="preserve">NGPL filed to implement a new firm service that is available for a certain number of days in a specified time period (Available Days).  The service is similar to the limited firm transportation service recently offered by Panhandle, Trunkline, and Transwestern.  FFTS service will be provided from unsubscribed capacity that is posted on the EBB and will be sold through NGPL’s auction procedures.  The Commission accepts the filing to be effective August 1, subject to NGPL (1) filing to clarify the procedures for determining whether firm capacity is available (2) filing all FFTS contracts 30 days before service commences, (3) filing a report on November 1, 2001, after 12 months of experience, (4) filing a further explanation of how partial available days will work and how available capacity will be adjusted to reflect FFTS contracts.     </w:t>
      </w:r>
    </w:p>
    <w:p>
      <w:pPr>
        <w:pStyle w:val="Normal"/>
        <w:tabs>
          <w:tab w:val="clear" w:pos="540"/>
        </w:tabs>
        <w:rPr>
          <w:rFonts w:ascii="Times New Roman" w:hAnsi="Times New Roman" w:cs="Times New Roman"/>
          <w:b/>
        </w:rPr>
      </w:pPr>
      <w:r>
        <w:rPr>
          <w:rFonts w:cs="Times New Roman" w:ascii="Times New Roman" w:hAnsi="Times New Roman"/>
          <w:b/>
        </w:rPr>
      </w:r>
    </w:p>
    <w:p>
      <w:pPr>
        <w:pStyle w:val="Normal"/>
        <w:numPr>
          <w:ilvl w:val="0"/>
          <w:numId w:val="16"/>
        </w:numPr>
        <w:tabs>
          <w:tab w:val="clear" w:pos="540"/>
        </w:tabs>
        <w:rPr>
          <w:rFonts w:ascii="Times New Roman" w:hAnsi="Times New Roman" w:cs="Times New Roman"/>
          <w:b/>
        </w:rPr>
      </w:pPr>
      <w:r>
        <w:rPr>
          <w:rFonts w:cs="Times New Roman" w:ascii="Times New Roman" w:hAnsi="Times New Roman"/>
          <w:b/>
        </w:rPr>
        <w:t>Commission Orders Investigation of Whether NGPL Colluded with its Affiliates to Charge Gathering Rates in Excess of Maximum Tariff Rates</w:t>
      </w:r>
      <w:r>
        <w:rPr>
          <w:rFonts w:cs="Times New Roman" w:ascii="Times New Roman" w:hAnsi="Times New Roman"/>
        </w:rPr>
        <w:t>, RP00-275.</w:t>
      </w:r>
      <w:r>
        <w:rPr>
          <w:rFonts w:cs="Times New Roman" w:ascii="Times New Roman" w:hAnsi="Times New Roman"/>
          <w:b/>
        </w:rPr>
        <w:t xml:space="preserve">  </w:t>
      </w:r>
      <w:r>
        <w:rPr>
          <w:rFonts w:cs="Times New Roman" w:ascii="Times New Roman" w:hAnsi="Times New Roman"/>
        </w:rPr>
        <w:t xml:space="preserve">This order arises from the complaint of Chesapeake Panhandle L.P., a producer, that during the period March 1998-January 2000, NGPL and affiliated marketer MidCon Gas Services collaborated so that the seller of gas produced from the West Panhandle wells and gathered by NGPL over its West Panhandle Gathering System paid gathering charges in excess of the rates for gathering services in NGPL’s tariff. </w:t>
      </w:r>
    </w:p>
    <w:p>
      <w:pPr>
        <w:pStyle w:val="Normal"/>
        <w:tabs>
          <w:tab w:val="clear" w:pos="540"/>
        </w:tabs>
        <w:rPr>
          <w:rFonts w:ascii="Times New Roman" w:hAnsi="Times New Roman" w:cs="Times New Roman"/>
          <w:b/>
        </w:rPr>
      </w:pPr>
      <w:r>
        <w:rPr>
          <w:rFonts w:cs="Times New Roman" w:ascii="Times New Roman" w:hAnsi="Times New Roman"/>
          <w:b/>
        </w:rPr>
      </w:r>
    </w:p>
    <w:p>
      <w:pPr>
        <w:pStyle w:val="Normal"/>
        <w:numPr>
          <w:ilvl w:val="0"/>
          <w:numId w:val="16"/>
        </w:numPr>
        <w:tabs>
          <w:tab w:val="clear" w:pos="540"/>
        </w:tabs>
        <w:rPr>
          <w:rFonts w:ascii="Times New Roman" w:hAnsi="Times New Roman" w:cs="Times New Roman"/>
          <w:b/>
        </w:rPr>
      </w:pPr>
      <w:r>
        <w:rPr>
          <w:rFonts w:cs="Times New Roman" w:ascii="Times New Roman" w:hAnsi="Times New Roman"/>
          <w:b/>
        </w:rPr>
        <w:t>Questar Southern Trails Receives Certificate</w:t>
      </w:r>
      <w:r>
        <w:rPr>
          <w:rFonts w:cs="Times New Roman" w:ascii="Times New Roman" w:hAnsi="Times New Roman"/>
        </w:rPr>
        <w:t>, CP99-163, CP99-165 and CP99-166.  In October 1999, the Commission issued a preliminary determination regarding Southern Trail’s proposal to acquire an oil pipeline from an affiliate (previously acquired from ARCO), convert the oil line to natural gas services, and to construct certain other facilities to provide service to the Four Corners area.  Southern Trails sought rehearing of several provisions in the preliminary determination, including: the requirement to credit 90% of its interruptible revenues and the Commission’s refusal to allow Southern Trails to record a regulatory asset under its rate levelization plan.  In this order, the Commission says that Southern Trails can file instead to allocate costs to IT, but continues to disallow a regulatory asset because there is no rate plan to recover the deferred amounts at the end of the contract period.   The environmental analysis describes, among other things, interaction with tribal agencies.  Several reroutes are discussion, including the Commission’s rejection of a Navajo Nation request.   The order also notes that cultural resources work is not complete for the project</w:t>
      </w:r>
    </w:p>
    <w:p>
      <w:pPr>
        <w:pStyle w:val="Normal"/>
        <w:tabs>
          <w:tab w:val="clear" w:pos="540"/>
        </w:tabs>
        <w:rPr>
          <w:rFonts w:ascii="Times New Roman" w:hAnsi="Times New Roman" w:cs="Times New Roman"/>
          <w:b/>
        </w:rPr>
      </w:pPr>
      <w:r>
        <w:rPr>
          <w:rFonts w:cs="Times New Roman" w:ascii="Times New Roman" w:hAnsi="Times New Roman"/>
          <w:b/>
        </w:rPr>
      </w:r>
    </w:p>
    <w:p>
      <w:pPr>
        <w:pStyle w:val="Normal"/>
        <w:tabs>
          <w:tab w:val="clear" w:pos="540"/>
        </w:tabs>
        <w:rPr>
          <w:rFonts w:ascii="Times New Roman" w:hAnsi="Times New Roman" w:cs="Times New Roman"/>
          <w:b/>
        </w:rPr>
      </w:pPr>
      <w:r>
        <w:rPr>
          <w:rFonts w:cs="Times New Roman" w:ascii="Times New Roman" w:hAnsi="Times New Roman"/>
          <w:b/>
        </w:rPr>
      </w:r>
    </w:p>
    <w:p>
      <w:pPr>
        <w:pStyle w:val="Heading2"/>
        <w:ind w:hanging="0" w:start="0"/>
        <w:rPr/>
      </w:pPr>
      <w:r>
        <w:rPr/>
        <w:t>Court Cases</w:t>
      </w:r>
    </w:p>
    <w:p>
      <w:pPr>
        <w:pStyle w:val="Normal"/>
        <w:spacing w:lineRule="atLeast" w:line="240"/>
        <w:rPr>
          <w:rFonts w:ascii="Times New Roman" w:hAnsi="Times New Roman" w:cs="Times New Roman"/>
          <w:color w:val="000000"/>
          <w:sz w:val="18"/>
        </w:rPr>
      </w:pPr>
      <w:r>
        <w:rPr>
          <w:rFonts w:cs="Times New Roman" w:ascii="Times New Roman" w:hAnsi="Times New Roman"/>
          <w:color w:val="000000"/>
          <w:sz w:val="18"/>
        </w:rPr>
      </w:r>
    </w:p>
    <w:p>
      <w:pPr>
        <w:pStyle w:val="Normal"/>
        <w:spacing w:lineRule="atLeast" w:line="240"/>
        <w:rPr>
          <w:rFonts w:ascii="Times New Roman" w:hAnsi="Times New Roman" w:cs="Times New Roman"/>
          <w:color w:val="000000"/>
          <w:sz w:val="18"/>
        </w:rPr>
      </w:pPr>
      <w:r>
        <w:rPr>
          <w:rFonts w:cs="Times New Roman" w:ascii="Times New Roman" w:hAnsi="Times New Roman"/>
          <w:color w:val="000000"/>
          <w:sz w:val="18"/>
        </w:rPr>
      </w:r>
    </w:p>
    <w:p>
      <w:pPr>
        <w:pStyle w:val="BodyText"/>
        <w:numPr>
          <w:ilvl w:val="0"/>
          <w:numId w:val="15"/>
        </w:numPr>
        <w:rPr>
          <w:b/>
        </w:rPr>
      </w:pPr>
      <w:r>
        <w:rPr>
          <w:b/>
        </w:rPr>
        <w:t xml:space="preserve">Court Appeal of Order Nos. 637 and 637-A. </w:t>
      </w:r>
    </w:p>
    <w:p>
      <w:pPr>
        <w:pStyle w:val="BodyText"/>
        <w:ind w:start="360" w:end="0"/>
        <w:rPr/>
      </w:pPr>
      <w:r>
        <w:rPr/>
        <w:t>The following parties have petitioned the DC Court of Appeals for review of Order Nos. 637 and 637-A: PGC; Exxon Mobil; APGA; New England Local Distribution Cos.; Koch Gateway Pipeline Co.; IPAA; Kinder Morgan Interstate Gas Transmission LLC; AGA; Illinois Municipal Gas Agency; Great Lakes Gas Transmission; UGI Utiliites; Dominion Transmission, Inc.; Columbia Gas Transmission; Wisconsin Distributor Group; Texas Eastern Transmission; and National Association of State Utility Consumer Advocates. Exxon Mobil filed to sever the capacity release price cap issue from the remainder of the issues on appeal so that judicial review could proceed immediately.  FERC answered in opposition to Exxon Mobil's motion to sever. The Illinois Municpal Gas Agency (Case No. 00-1291) also filed to sever its issue.  IMGA has been seeking to get the FERC to change its discount adjustment policy since 1993.  IMGA's issue was originally docketed by FERC as RM97-7, but FERC did not act on the rulemaking.  IMGA argues that because of the FERC's discount adjustment policy, captive customers are paying billions of dollars per year in non-refundable, excessive, and unlawful rates.  The Court of Appeals has not acted on these motions.</w:t>
      </w:r>
    </w:p>
    <w:p>
      <w:pPr>
        <w:pStyle w:val="Normal"/>
        <w:tabs>
          <w:tab w:val="clear" w:pos="540"/>
        </w:tabs>
        <w:rPr>
          <w:rFonts w:ascii="Times New Roman" w:hAnsi="Times New Roman" w:cs="Times New Roman"/>
          <w:color w:val="000000"/>
        </w:rPr>
      </w:pPr>
      <w:r>
        <w:rPr>
          <w:rFonts w:cs="Times New Roman" w:ascii="Times New Roman" w:hAnsi="Times New Roman"/>
          <w:color w:val="000000"/>
        </w:rPr>
      </w:r>
    </w:p>
    <w:p>
      <w:pPr>
        <w:pStyle w:val="Normal"/>
        <w:tabs>
          <w:tab w:val="clear" w:pos="540"/>
        </w:tabs>
        <w:rPr>
          <w:rFonts w:ascii="Times New Roman" w:hAnsi="Times New Roman" w:cs="Times New Roman"/>
          <w:color w:val="000000"/>
        </w:rPr>
      </w:pPr>
      <w:r>
        <w:rPr>
          <w:rFonts w:cs="Times New Roman" w:ascii="Times New Roman" w:hAnsi="Times New Roman"/>
          <w:color w:val="000000"/>
        </w:rPr>
      </w:r>
    </w:p>
    <w:p>
      <w:pPr>
        <w:pStyle w:val="Heading1"/>
        <w:ind w:hanging="0" w:start="0"/>
        <w:rPr/>
      </w:pPr>
      <w:r>
        <w:rPr/>
        <w:t>Electric Matters</w:t>
      </w:r>
    </w:p>
    <w:p>
      <w:pPr>
        <w:pStyle w:val="Normal"/>
        <w:tabs>
          <w:tab w:val="clear" w:pos="540"/>
        </w:tabs>
        <w:rPr>
          <w:rFonts w:ascii="Times New Roman" w:hAnsi="Times New Roman" w:cs="Times New Roman"/>
          <w:color w:val="000000"/>
        </w:rPr>
      </w:pPr>
      <w:r>
        <w:rPr>
          <w:rFonts w:cs="Times New Roman" w:ascii="Times New Roman" w:hAnsi="Times New Roman"/>
          <w:color w:val="000000"/>
        </w:rPr>
      </w:r>
    </w:p>
    <w:p>
      <w:pPr>
        <w:pStyle w:val="Normal"/>
        <w:numPr>
          <w:ilvl w:val="0"/>
          <w:numId w:val="17"/>
        </w:numPr>
        <w:tabs>
          <w:tab w:val="clear" w:pos="540"/>
        </w:tabs>
        <w:rPr>
          <w:rFonts w:ascii="Times New Roman" w:hAnsi="Times New Roman" w:cs="Times New Roman"/>
          <w:b/>
        </w:rPr>
      </w:pPr>
      <w:r>
        <w:rPr>
          <w:rFonts w:cs="Times New Roman" w:ascii="Times New Roman" w:hAnsi="Times New Roman"/>
          <w:b/>
          <w:color w:val="000000"/>
        </w:rPr>
        <w:t xml:space="preserve">Citizen Power Inc. v. First Energy and First Energy Operating Companies, </w:t>
      </w:r>
      <w:r>
        <w:rPr>
          <w:rFonts w:cs="Times New Roman" w:ascii="Times New Roman" w:hAnsi="Times New Roman"/>
          <w:color w:val="000000"/>
        </w:rPr>
        <w:t>EL00-94-000.  On July 26, Citizen Power filed a complaint and request for fast track processing  asking that First Energy be directed to file a Section 203  application for authority to approve the transfer of all the generating facilities of its operating utilities to affiliate First Energy  Services.</w:t>
      </w:r>
    </w:p>
    <w:p>
      <w:pPr>
        <w:pStyle w:val="Normal"/>
        <w:spacing w:lineRule="atLeast" w:line="240"/>
        <w:rPr>
          <w:rFonts w:ascii="Times New Roman" w:hAnsi="Times New Roman" w:cs="Times New Roman"/>
          <w:b/>
          <w:color w:val="000000"/>
        </w:rPr>
      </w:pPr>
      <w:r>
        <w:rPr>
          <w:rFonts w:cs="Times New Roman" w:ascii="Times New Roman" w:hAnsi="Times New Roman"/>
          <w:b/>
          <w:color w:val="000000"/>
        </w:rPr>
      </w:r>
    </w:p>
    <w:p>
      <w:pPr>
        <w:pStyle w:val="Normal"/>
        <w:numPr>
          <w:ilvl w:val="0"/>
          <w:numId w:val="3"/>
        </w:numPr>
        <w:spacing w:lineRule="atLeast" w:line="240"/>
        <w:rPr>
          <w:rFonts w:ascii="Times New Roman" w:hAnsi="Times New Roman" w:cs="Times New Roman"/>
          <w:color w:val="000000"/>
        </w:rPr>
      </w:pPr>
      <w:r>
        <w:rPr>
          <w:rFonts w:cs="Times New Roman" w:ascii="Times New Roman" w:hAnsi="Times New Roman"/>
          <w:b/>
          <w:color w:val="000000"/>
        </w:rPr>
        <w:t>Electric Utility Rates of Return</w:t>
      </w:r>
      <w:r>
        <w:rPr>
          <w:rFonts w:cs="Times New Roman" w:ascii="Times New Roman" w:hAnsi="Times New Roman"/>
          <w:color w:val="000000"/>
        </w:rPr>
        <w:t xml:space="preserve">, ER97-2355, ER98-1261 &amp; ER98-1685.  In setting aside an ALJ’s initial decision, the Commission approved an 11.6% rate of return on equity for SoCal Edison.  This order abandons a two-stage DCF methodology in favor of a one-part DCF method for setting electric rates of return.  In SoCal Edison's case, this resulted in a 200 basis point increase (from 9.86%).  Commissioner Massey attempted to reconcile this methodology with the two-step approach on the gas side.  He noted that growth in the pipeline side is 3X the growth of electric transmission.  If the gas model had been employed SoCal Edison's return would have been lower.  He thinks the differences in growth characteristics warrant the methodology differences.  Hoecker commented that this update to the electric return methodology fulfills the Commission's promise to take up this issue in Order 2000 and to ensure that electric transmission owners are not penalized when they join an RTO. </w:t>
      </w:r>
    </w:p>
    <w:p>
      <w:pPr>
        <w:pStyle w:val="Normal"/>
        <w:spacing w:lineRule="atLeast" w:line="240"/>
        <w:rPr>
          <w:rFonts w:ascii="Times New Roman" w:hAnsi="Times New Roman" w:cs="Times New Roman"/>
          <w:color w:val="000000"/>
        </w:rPr>
      </w:pPr>
      <w:r>
        <w:rPr>
          <w:rFonts w:cs="Times New Roman" w:ascii="Times New Roman" w:hAnsi="Times New Roman"/>
          <w:color w:val="000000"/>
        </w:rPr>
      </w:r>
    </w:p>
    <w:p>
      <w:pPr>
        <w:pStyle w:val="Normal"/>
        <w:numPr>
          <w:ilvl w:val="0"/>
          <w:numId w:val="5"/>
        </w:numPr>
        <w:spacing w:lineRule="atLeast" w:line="240"/>
        <w:rPr>
          <w:rFonts w:ascii="Times New Roman" w:hAnsi="Times New Roman" w:cs="Times New Roman"/>
          <w:color w:val="000000"/>
        </w:rPr>
      </w:pPr>
      <w:r>
        <w:rPr>
          <w:rFonts w:cs="Times New Roman" w:ascii="Times New Roman" w:hAnsi="Times New Roman"/>
          <w:b/>
          <w:color w:val="000000"/>
        </w:rPr>
        <w:t>Rehearing of Entergy Source and Sink Provisions Denied</w:t>
      </w:r>
      <w:r>
        <w:rPr>
          <w:rFonts w:cs="Times New Roman" w:ascii="Times New Roman" w:hAnsi="Times New Roman"/>
          <w:color w:val="000000"/>
        </w:rPr>
        <w:t xml:space="preserve">, ER00-1933-001.  On May 18, the Commission accepted Entergy tariff provisions that require all transmission customers under point-to-point transmission to designate a source (specific generator) and a sink (specific load).  Neither a generator-only control area, nor a load-only control area would be considered valid.  On rehearing, EPSA, EPMI and others argued that this provision is hampering the ability of power marketers to participate in Entergy’s service territory and the provisions discriminate against generation-only and load-only control areas. In denying rehearing, the Commission responds that Entergy is treated comparably in its reservation of point-to-point service.  The Commission concedes that Entergy has more flexibility, but says that its only because Entergy has a large portfolio of loads and resources, and the intervenors do not.  While voting in favor of this order, Commissioner Massey said that he is concerned that load-serving entities have advantages over power marketers.  He thinks that the Commission should take another look at the concept of placing all entities under a single tariff, such as the earlier proposed capacity reservation tariff.  </w:t>
      </w:r>
    </w:p>
    <w:p>
      <w:pPr>
        <w:pStyle w:val="Normal"/>
        <w:spacing w:lineRule="atLeast" w:line="240"/>
        <w:rPr>
          <w:rFonts w:ascii="Times New Roman" w:hAnsi="Times New Roman" w:cs="Times New Roman"/>
          <w:color w:val="000000"/>
        </w:rPr>
      </w:pPr>
      <w:r>
        <w:rPr>
          <w:rFonts w:cs="Times New Roman" w:ascii="Times New Roman" w:hAnsi="Times New Roman"/>
          <w:color w:val="000000"/>
        </w:rPr>
      </w:r>
    </w:p>
    <w:p>
      <w:pPr>
        <w:pStyle w:val="Normal"/>
        <w:spacing w:lineRule="atLeast" w:line="240"/>
        <w:rPr>
          <w:rFonts w:ascii="Times New Roman" w:hAnsi="Times New Roman" w:cs="Times New Roman"/>
          <w:color w:val="000000"/>
        </w:rPr>
      </w:pPr>
      <w:r>
        <w:rPr>
          <w:rFonts w:cs="Times New Roman" w:ascii="Times New Roman" w:hAnsi="Times New Roman"/>
          <w:color w:val="000000"/>
        </w:rPr>
      </w:r>
    </w:p>
    <w:p>
      <w:pPr>
        <w:pStyle w:val="Heading1"/>
        <w:tabs>
          <w:tab w:val="left" w:pos="540" w:leader="none"/>
        </w:tabs>
        <w:spacing w:lineRule="atLeast" w:line="240"/>
        <w:ind w:hanging="0" w:start="0"/>
        <w:rPr/>
      </w:pPr>
      <w:r>
        <w:rPr/>
        <w:t>Legislation</w:t>
      </w:r>
    </w:p>
    <w:p>
      <w:pPr>
        <w:pStyle w:val="Normal"/>
        <w:rPr/>
      </w:pPr>
      <w:r>
        <w:rPr/>
      </w:r>
    </w:p>
    <w:p>
      <w:pPr>
        <w:pStyle w:val="Normal"/>
        <w:numPr>
          <w:ilvl w:val="0"/>
          <w:numId w:val="14"/>
        </w:numPr>
        <w:rPr>
          <w:rFonts w:ascii="Times New Roman" w:hAnsi="Times New Roman" w:cs="Times New Roman"/>
        </w:rPr>
      </w:pPr>
      <w:r>
        <w:rPr>
          <w:rFonts w:cs="Times New Roman" w:ascii="Times New Roman" w:hAnsi="Times New Roman"/>
          <w:b/>
        </w:rPr>
        <w:t>MTBE Ban Bill Introduced</w:t>
      </w:r>
      <w:r>
        <w:rPr>
          <w:rFonts w:cs="Times New Roman" w:ascii="Times New Roman" w:hAnsi="Times New Roman"/>
        </w:rPr>
        <w:t>.  On July 28, Sen. Environment Committee Chairman Bob Smith (R- NH) introduced a bill (S. 2962) to ban MTBE.  Full committee markup of the bill is set for Sept. 7.  Under the bill state governors would have the option of waiving the 2 percent oxygenate requirement of The Clean Air Act amendments of 1990, which established the reformulated gasoline program.  The bill also would give states the authority to ban the use of MTBE within their state.  EPA also would have the authority to ban MTBE immediately. The bill itself would phase out MTBE within four years.  The bill also would provide $200 million from the leaking underground storage tank fund to clean up MTBE-contaminated sites and would authorize EPA to conduct a study of the environmental consequences of the nation's transportation fuel supply.   Smith acknowledged that a ban on MTBE would increase the cost of reformulated gasoline. He estimated his proposal would cost consumers approximately 3 cents to 4 cents per gallon extra in areas where reformulated gasoline is required.</w:t>
      </w:r>
    </w:p>
    <w:p>
      <w:pPr>
        <w:pStyle w:val="Normal"/>
        <w:rPr>
          <w:rFonts w:ascii="Times New Roman" w:hAnsi="Times New Roman" w:cs="Times New Roman"/>
        </w:rPr>
      </w:pPr>
      <w:r>
        <w:rPr>
          <w:rFonts w:cs="Times New Roman" w:ascii="Times New Roman" w:hAnsi="Times New Roman"/>
        </w:rPr>
      </w:r>
    </w:p>
    <w:p>
      <w:pPr>
        <w:pStyle w:val="Normal"/>
        <w:rPr/>
      </w:pPr>
      <w:r>
        <w:rPr/>
      </w:r>
    </w:p>
    <w:sectPr>
      <w:footerReference w:type="default" r:id="rId3"/>
      <w:footerReference w:type="first" r:id="rId4"/>
      <w:type w:val="nextPage"/>
      <w:pgSz w:w="12240" w:h="15840"/>
      <w:pgMar w:left="1440" w:right="1440" w:gutter="0" w:header="0" w:top="1080" w:footer="360" w:bottom="99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WK7_2_9.doc</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85090"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230.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Wk11-06.doc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540"/>
      </w:tabs>
      <w:jc w:val="center"/>
      <w:outlineLvl w:val="0"/>
    </w:pPr>
    <w:rPr>
      <w:rFonts w:ascii="Times New Roman" w:hAnsi="Times New Roman" w:cs="Times New Roman"/>
      <w:b/>
      <w:color w:val="000000"/>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 w:hAnsi="Times New Roman" w:cs="Times New Roman"/>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540"/>
      </w:tabs>
      <w:outlineLvl w:val="3"/>
    </w:pPr>
    <w:rPr>
      <w:rFonts w:ascii="Times New Roman" w:hAnsi="Times New Roman" w:cs="Times New Roman"/>
      <w:b/>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ListBullet">
    <w:name w:val="List Bullet"/>
    <w:basedOn w:val="Normal"/>
    <w:qFormat/>
    <w:pPr>
      <w:numPr>
        <w:ilvl w:val="0"/>
        <w:numId w:val="19"/>
      </w:numPr>
      <w:ind w:hanging="360" w:start="3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2000-07-30T22:30:00Z</dcterms:created>
  <dc:creator>Jan Butler</dc:creator>
  <dc:description/>
  <dc:language>en-CA</dc:language>
  <cp:lastModifiedBy>ETS</cp:lastModifiedBy>
  <cp:lastPrinted>1998-09-03T15:26:00Z</cp:lastPrinted>
  <dcterms:modified xsi:type="dcterms:W3CDTF">2000-07-30T22:39:00Z</dcterms:modified>
  <cp:revision>3</cp:revision>
  <dc:subject/>
  <dc:title>Weekly Regulatory Report template</dc:title>
</cp:coreProperties>
</file>