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op w:val="dashed" w:sz="6" w:space="0" w:color="auto"/>
              <w:start w:val="dashed" w:sz="6" w:space="0" w:color="auto"/>
              <w:bottom w:val="dashed" w:sz="6" w:space="0" w:color="auto"/>
              <w:end w:val="dashed" w:sz="6" w:space="0" w:color="auto"/>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op w:val="dashed" w:sz="6" w:space="0" w:color="auto"/>
              <w:start w:val="dashed" w:sz="6" w:space="0" w:color="auto"/>
              <w:bottom w:val="dashed" w:sz="6" w:space="0" w:color="auto"/>
              <w:end w:val="dashed" w:sz="6" w:space="0" w:color="auto"/>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p>
            <w:pPr>
              <w:pStyle w:val="To"/>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1418" w:type="dxa"/>
            <w:tcBorders>
              <w:top w:val="dashed" w:sz="6" w:space="0" w:color="auto"/>
              <w:start w:val="dashed" w:sz="6" w:space="0" w:color="auto"/>
              <w:bottom w:val="dashed" w:sz="6" w:space="0" w:color="auto"/>
              <w:end w:val="dashed" w:sz="6" w:space="0" w:color="auto"/>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op w:val="dashed" w:sz="6" w:space="0" w:color="auto"/>
              <w:start w:val="dashed" w:sz="6" w:space="0" w:color="auto"/>
              <w:bottom w:val="dashed" w:sz="6" w:space="0" w:color="auto"/>
              <w:end w:val="dashed" w:sz="6" w:space="0" w:color="auto"/>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16" w:hRule="exact"/>
        </w:trPr>
        <w:tc>
          <w:tcPr>
            <w:tcW w:w="1170"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op w:val="dashed" w:sz="6" w:space="0" w:color="auto"/>
              <w:start w:val="dashed" w:sz="6" w:space="0" w:color="auto"/>
              <w:bottom w:val="dashed" w:sz="6" w:space="0" w:color="auto"/>
              <w:end w:val="dashed" w:sz="6" w:space="0" w:color="auto"/>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op w:val="dashed" w:sz="6" w:space="0" w:color="auto"/>
              <w:start w:val="dashed" w:sz="6" w:space="0" w:color="auto"/>
              <w:bottom w:val="dashed" w:sz="6" w:space="0" w:color="auto"/>
              <w:end w:val="dashed" w:sz="6" w:space="0" w:color="auto"/>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op w:val="dashed" w:sz="6" w:space="0" w:color="auto"/>
              <w:start w:val="dashed" w:sz="6" w:space="0" w:color="auto"/>
              <w:bottom w:val="dashed" w:sz="6" w:space="0" w:color="auto"/>
              <w:end w:val="dashed" w:sz="6" w:space="0" w:color="auto"/>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00" w:hRule="exact"/>
        </w:trPr>
        <w:tc>
          <w:tcPr>
            <w:tcW w:w="1170" w:type="dxa"/>
            <w:tcBorders>
              <w:top w:val="dashed" w:sz="6" w:space="0" w:color="auto"/>
              <w:start w:val="dashed" w:sz="6" w:space="0" w:color="auto"/>
              <w:bottom w:val="dashed" w:sz="6" w:space="0" w:color="auto"/>
              <w:end w:val="dashed" w:sz="6" w:space="0" w:color="auto"/>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op w:val="dashed" w:sz="6" w:space="0" w:color="auto"/>
              <w:start w:val="dashed" w:sz="6" w:space="0" w:color="auto"/>
              <w:bottom w:val="dashed" w:sz="6" w:space="0" w:color="auto"/>
              <w:end w:val="dashed" w:sz="6" w:space="0" w:color="auto"/>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Shelley Corman</w:t>
            </w:r>
          </w:p>
        </w:tc>
        <w:tc>
          <w:tcPr>
            <w:tcW w:w="141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op w:val="dashed" w:sz="6" w:space="0" w:color="auto"/>
              <w:start w:val="dashed" w:sz="6" w:space="0" w:color="auto"/>
              <w:bottom w:val="dashed" w:sz="6" w:space="0" w:color="auto"/>
              <w:end w:val="dashed" w:sz="6" w:space="0" w:color="auto"/>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16" w:hRule="exact"/>
        </w:trPr>
        <w:tc>
          <w:tcPr>
            <w:tcW w:w="1170"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op w:val="dashed" w:sz="6" w:space="0" w:color="auto"/>
              <w:start w:val="dashed" w:sz="6" w:space="0" w:color="auto"/>
              <w:bottom w:val="dashed" w:sz="6" w:space="0" w:color="auto"/>
              <w:end w:val="dashed" w:sz="6" w:space="0" w:color="auto"/>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op w:val="dashed" w:sz="6" w:space="0" w:color="auto"/>
              <w:start w:val="dashed" w:sz="6" w:space="0" w:color="auto"/>
              <w:bottom w:val="dashed" w:sz="6" w:space="0" w:color="auto"/>
              <w:end w:val="dashed" w:sz="6" w:space="0" w:color="auto"/>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op w:val="dashed" w:sz="6" w:space="0" w:color="auto"/>
              <w:start w:val="dashed" w:sz="6" w:space="0" w:color="auto"/>
              <w:bottom w:val="dashed" w:sz="6" w:space="0" w:color="auto"/>
              <w:end w:val="dashed" w:sz="6" w:space="0" w:color="auto"/>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91" w:hRule="exact"/>
        </w:trPr>
        <w:tc>
          <w:tcPr>
            <w:tcW w:w="1170" w:type="dxa"/>
            <w:tcBorders>
              <w:top w:val="dashed" w:sz="6" w:space="0" w:color="auto"/>
              <w:start w:val="dashed" w:sz="6" w:space="0" w:color="auto"/>
              <w:bottom w:val="single" w:sz="18" w:space="0" w:color="000000"/>
              <w:end w:val="dashed" w:sz="6" w:space="0" w:color="auto"/>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top w:val="dashed" w:sz="6" w:space="0" w:color="auto"/>
              <w:start w:val="dashed" w:sz="6" w:space="0" w:color="auto"/>
              <w:bottom w:val="single" w:sz="18" w:space="0" w:color="000000"/>
              <w:end w:val="dashed" w:sz="6" w:space="0" w:color="auto"/>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Government Affairs Report</w:t>
            </w:r>
          </w:p>
        </w:tc>
        <w:tc>
          <w:tcPr>
            <w:tcW w:w="1418" w:type="dxa"/>
            <w:tcBorders>
              <w:top w:val="dashed" w:sz="6" w:space="0" w:color="auto"/>
              <w:start w:val="dashed" w:sz="6" w:space="0" w:color="auto"/>
              <w:bottom w:val="single" w:sz="18" w:space="0" w:color="000000"/>
              <w:end w:val="dashed" w:sz="6" w:space="0" w:color="auto"/>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top w:val="dashed" w:sz="6" w:space="0" w:color="auto"/>
              <w:start w:val="dashed" w:sz="6" w:space="0" w:color="auto"/>
              <w:bottom w:val="single" w:sz="18" w:space="0" w:color="000000"/>
              <w:end w:val="dashed" w:sz="6" w:space="0" w:color="auto"/>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February 9, 2001</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 w:val="left" w:pos="360" w:leader="none"/>
        </w:tabs>
        <w:ind w:hanging="720" w:start="1080" w:end="0"/>
        <w:rPr/>
      </w:pPr>
      <w:r>
        <w:rPr>
          <w:rFonts w:eastAsia="Times New Roman" w:cs="Times New Roman" w:ascii="Times New Roman" w:hAnsi="Times New Roman"/>
          <w:b/>
          <w:bCs/>
        </w:rPr>
        <w:t xml:space="preserve">FERC Staff Changes.  </w:t>
      </w:r>
      <w:r>
        <w:rPr>
          <w:rFonts w:eastAsia="Times New Roman" w:cs="Times New Roman" w:ascii="Times New Roman" w:hAnsi="Times New Roman"/>
        </w:rPr>
        <w:t xml:space="preserve">Doug Smith, General Counsel and Katy Hirning, CIO, announced their departures from FERC.  Reportedly Kevin Madden will take over as FERC General Counsel. </w:t>
      </w:r>
    </w:p>
    <w:p>
      <w:pPr>
        <w:pStyle w:val="Footer"/>
        <w:numPr>
          <w:ilvl w:val="0"/>
          <w:numId w:val="0"/>
        </w:numPr>
        <w:tabs>
          <w:tab w:val="clear" w:pos="4320"/>
          <w:tab w:val="clear" w:pos="86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b/>
          <w:bCs/>
        </w:rPr>
      </w:pPr>
      <w:r>
        <w:rPr>
          <w:rFonts w:eastAsia="Times New Roman" w:cs="Times New Roman" w:ascii="Times New Roman" w:hAnsi="Times New Roman"/>
          <w:b/>
          <w:bCs/>
        </w:rPr>
        <w:t>FERC Outreach Meeting</w:t>
      </w:r>
      <w:r>
        <w:rPr>
          <w:rFonts w:eastAsia="Times New Roman" w:cs="Times New Roman" w:ascii="Times New Roman" w:hAnsi="Times New Roman"/>
        </w:rPr>
        <w:t xml:space="preserve">.  The third outreach meeting will be held on February 15 in Tampa.  John Shafer will represent ETS on a panel </w:t>
      </w:r>
      <w:r>
        <w:rPr>
          <w:rFonts w:eastAsia="Times New Roman" w:cs="Times New Roman" w:ascii="Times New Roman" w:hAnsi="Times New Roman"/>
          <w:color w:val="000000"/>
        </w:rPr>
        <w:t>entitled "</w:t>
      </w:r>
      <w:r>
        <w:rPr>
          <w:rFonts w:eastAsia="Times New Roman" w:cs="Times New Roman" w:ascii="Times New Roman" w:hAnsi="Times New Roman"/>
          <w:color w:val="000000"/>
          <w:u w:val="single"/>
        </w:rPr>
        <w:t>What are the benefits of a Natural Gas Project and Right-of-Way</w:t>
      </w:r>
      <w:r>
        <w:rPr>
          <w:rFonts w:eastAsia="Times New Roman" w:cs="Times New Roman" w:ascii="Times New Roman" w:hAnsi="Times New Roman"/>
          <w:color w:val="000000"/>
        </w:rPr>
        <w:t xml:space="preserve">?  </w:t>
      </w:r>
    </w:p>
    <w:p>
      <w:pPr>
        <w:pStyle w:val="Normal"/>
        <w:numPr>
          <w:ilvl w:val="0"/>
          <w:numId w:val="0"/>
        </w:numPr>
        <w:tabs>
          <w:tab w:val="clear" w:pos="540"/>
          <w:tab w:val="left" w:pos="720" w:leader="none"/>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 w:val="left" w:pos="360" w:leader="none"/>
        </w:tabs>
        <w:ind w:hanging="360" w:start="1080" w:end="0"/>
        <w:rPr/>
      </w:pPr>
      <w:r>
        <w:rPr>
          <w:rFonts w:eastAsia="Times New Roman" w:cs="Times New Roman" w:ascii="Times New Roman" w:hAnsi="Times New Roman"/>
          <w:b/>
          <w:bCs/>
        </w:rPr>
        <w:t xml:space="preserve">Final Rule on Project Cost and Annual Limits, RM81-19.  </w:t>
      </w:r>
      <w:r>
        <w:rPr>
          <w:rFonts w:eastAsia="Times New Roman" w:cs="Times New Roman" w:ascii="Times New Roman" w:hAnsi="Times New Roman"/>
        </w:rPr>
        <w:t xml:space="preserve">This week, FERC issued its annual project cost and annual limits for natural gas pipeline blanket certificates for calendar year 2001.  </w:t>
      </w:r>
    </w:p>
    <w:p>
      <w:pPr>
        <w:pStyle w:val="Footer"/>
        <w:tabs>
          <w:tab w:val="clear" w:pos="4320"/>
          <w:tab w:val="clear" w:pos="8640"/>
          <w:tab w:val="left" w:pos="720" w:leader="none"/>
        </w:tabs>
        <w:rPr>
          <w:rFonts w:ascii="Times New Roman" w:hAnsi="Times New Roman" w:eastAsia="Times New Roman" w:cs="Times New Roman"/>
        </w:rPr>
      </w:pPr>
      <w:r>
        <w:rPr>
          <w:rFonts w:eastAsia="Times New Roman" w:cs="Times New Roman" w:ascii="Times New Roman" w:hAnsi="Times New Roman"/>
        </w:rPr>
      </w:r>
    </w:p>
    <w:p>
      <w:pPr>
        <w:pStyle w:val="Normal"/>
        <w:keepLines/>
        <w:numPr>
          <w:ilvl w:val="0"/>
          <w:numId w:val="4"/>
        </w:numPr>
        <w:tabs>
          <w:tab w:val="clear" w:pos="540"/>
          <w:tab w:val="left" w:pos="0" w:leader="none"/>
          <w:tab w:val="left" w:pos="360" w:leader="none"/>
        </w:tabs>
        <w:spacing w:lineRule="atLeast" w:line="240"/>
        <w:ind w:hanging="720" w:start="1080" w:end="0"/>
        <w:rPr/>
      </w:pPr>
      <w:r>
        <w:rPr>
          <w:rFonts w:eastAsia="Times New Roman" w:cs="Times New Roman" w:ascii="Times New Roman" w:hAnsi="Times New Roman"/>
          <w:b/>
          <w:bCs/>
          <w:color w:val="000000"/>
        </w:rPr>
        <w:t xml:space="preserve">Complaint Against Gas Sellers to Reimpose Price Caps - Docket No RP01-223.  </w:t>
      </w:r>
      <w:r>
        <w:rPr>
          <w:rFonts w:eastAsia="Times New Roman" w:cs="Times New Roman" w:ascii="Times New Roman" w:hAnsi="Times New Roman"/>
          <w:color w:val="000000"/>
        </w:rPr>
        <w:t xml:space="preserve">The National Association of Gas Consumers (an association of municipal gas systems) has filed a complaint against all sellers of natural gas in the US to re-impose wholesale prices caps.  They are seeking a benchmark of $2.74/MMBtu.  The benchmark figure is based on an average gas forecast from a recent National Petroleum Council study.  </w:t>
      </w:r>
    </w:p>
    <w:p>
      <w:pPr>
        <w:pStyle w:val="Normal"/>
        <w:keepLines/>
        <w:numPr>
          <w:ilvl w:val="0"/>
          <w:numId w:val="0"/>
        </w:numPr>
        <w:tabs>
          <w:tab w:val="clear" w:pos="540"/>
        </w:tabs>
        <w:spacing w:lineRule="atLeast" w:line="240"/>
        <w:ind w:hanging="0" w:start="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b/>
          <w:bCs/>
        </w:rPr>
      </w:pPr>
      <w:r>
        <w:rPr>
          <w:rFonts w:eastAsia="Times New Roman" w:cs="Times New Roman" w:ascii="Times New Roman" w:hAnsi="Times New Roman"/>
          <w:b/>
          <w:bCs/>
          <w:color w:val="000000"/>
        </w:rPr>
        <w:t>Order 637 Appeal</w:t>
      </w:r>
      <w:r>
        <w:rPr>
          <w:rFonts w:eastAsia="Times New Roman" w:cs="Times New Roman" w:ascii="Times New Roman" w:hAnsi="Times New Roman"/>
          <w:color w:val="000000"/>
        </w:rPr>
        <w:t>.  The D.C. Circuit Court will issue a briefing schedule on Monday calling for Petitioners' briefs to be filed on April 6th. </w:t>
      </w:r>
      <w:r>
        <w:rPr>
          <w:rFonts w:eastAsia="Times New Roman" w:cs="Times New Roman" w:ascii="Times New Roman" w:hAnsi="Times New Roman"/>
        </w:rPr>
        <w:t xml:space="preserve">  ETS is appealing the imposition of the mandatory use of the within-the path method for allocating secondary point capacity.</w:t>
      </w:r>
    </w:p>
    <w:p>
      <w:pPr>
        <w:pStyle w:val="Normal"/>
        <w:numPr>
          <w:ilvl w:val="0"/>
          <w:numId w:val="0"/>
        </w:numPr>
        <w:tabs>
          <w:tab w:val="clear" w:pos="540"/>
          <w:tab w:val="left" w:pos="720" w:leader="none"/>
        </w:tabs>
        <w:spacing w:lineRule="atLeast" w:line="240"/>
        <w:ind w:hanging="0" w:start="720" w:end="0"/>
        <w:jc w:val="both"/>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p>
      <w:pPr>
        <w:pStyle w:val="Normal"/>
        <w:numPr>
          <w:ilvl w:val="0"/>
          <w:numId w:val="0"/>
        </w:numPr>
        <w:tabs>
          <w:tab w:val="clear" w:pos="540"/>
        </w:tabs>
        <w:ind w:hanging="0" w:start="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istBullet"/>
        <w:numPr>
          <w:ilvl w:val="0"/>
          <w:numId w:val="0"/>
        </w:numPr>
        <w:ind w:hanging="0" w:start="0" w:end="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ETS-Related FERC Orders and Filings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Heading2"/>
        <w:numPr>
          <w:ilvl w:val="0"/>
          <w:numId w:val="0"/>
        </w:numPr>
        <w:ind w:hanging="0" w:start="0"/>
        <w:rPr/>
      </w:pPr>
      <w:r>
        <w:rPr/>
        <w:t>All</w:t>
      </w:r>
    </w:p>
    <w:p>
      <w:pPr>
        <w:pStyle w:val="Normal"/>
        <w:numPr>
          <w:ilvl w:val="0"/>
          <w:numId w:val="4"/>
        </w:numPr>
        <w:tabs>
          <w:tab w:val="clear" w:pos="540"/>
          <w:tab w:val="left" w:pos="0" w:leader="none"/>
          <w:tab w:val="left" w:pos="360" w:leader="none"/>
        </w:tabs>
        <w:ind w:hanging="720" w:start="1080" w:end="0"/>
        <w:rPr/>
      </w:pPr>
      <w:r>
        <w:rPr>
          <w:rFonts w:eastAsia="Times New Roman" w:cs="Times New Roman" w:ascii="Times New Roman" w:hAnsi="Times New Roman"/>
          <w:b/>
          <w:bCs/>
        </w:rPr>
        <w:t xml:space="preserve">Standards of Conduct Filings Accepted </w:t>
      </w:r>
      <w:r>
        <w:rPr>
          <w:rFonts w:eastAsia="Times New Roman" w:cs="Times New Roman" w:ascii="Times New Roman" w:hAnsi="Times New Roman"/>
        </w:rPr>
        <w:t>for Florida Gas (MG01-2); Northern Border (MG01-5); Northern Natural (MG01-3); and Transwestern (MG01-1).</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end="0"/>
        <w:rPr>
          <w:rFonts w:ascii="Times New Roman" w:hAnsi="Times New Roman" w:eastAsia="Times New Roman" w:cs="Times New Roman"/>
          <w:b/>
          <w:bCs/>
        </w:rPr>
      </w:pPr>
      <w:r>
        <w:rPr>
          <w:rFonts w:eastAsia="Times New Roman" w:cs="Times New Roman" w:ascii="Times New Roman" w:hAnsi="Times New Roman"/>
          <w:b/>
          <w:bCs/>
        </w:rPr>
        <w:t>Northern Natural</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color w:val="000000"/>
        </w:rPr>
        <w:t>Negotiated Rate Agreement with OGE Energy Resources Accepted, RP96-272-027</w:t>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color w:val="000000"/>
        </w:rPr>
        <w:t>Notice of filing to implement a negotiated rate with Aquila Energy, RP96-202-028</w:t>
      </w:r>
    </w:p>
    <w:p>
      <w:pPr>
        <w:pStyle w:val="Normal"/>
        <w:numPr>
          <w:ilvl w:val="0"/>
          <w:numId w:val="0"/>
        </w:numPr>
        <w:tabs>
          <w:tab w:val="clear" w:pos="540"/>
          <w:tab w:val="left" w:pos="720" w:leader="none"/>
        </w:tabs>
        <w:ind w:hanging="0" w:start="360" w:end="0"/>
        <w:rPr>
          <w:rFonts w:ascii="Times New Roman" w:hAnsi="Times New Roman" w:eastAsia="Times New Roman" w:cs="Times New Roman"/>
        </w:rPr>
      </w:pPr>
      <w:r>
        <w:rPr>
          <w:rFonts w:eastAsia="Times New Roman" w:cs="Times New Roman" w:ascii="Times New Roman" w:hAnsi="Times New Roman"/>
        </w:rPr>
      </w:r>
    </w:p>
    <w:p>
      <w:pPr>
        <w:pStyle w:val="Heading3"/>
        <w:numPr>
          <w:ilvl w:val="0"/>
          <w:numId w:val="0"/>
        </w:numPr>
        <w:tabs>
          <w:tab w:val="clear" w:pos="540"/>
          <w:tab w:val="left" w:pos="720" w:leader="none"/>
        </w:tabs>
        <w:ind w:hanging="0" w:start="360"/>
        <w:rPr>
          <w:rFonts w:ascii="Times New Roman" w:hAnsi="Times New Roman" w:eastAsia="Times New Roman" w:cs="Times New Roman"/>
        </w:rPr>
      </w:pPr>
      <w:r>
        <w:rPr>
          <w:rFonts w:eastAsia="Times New Roman" w:cs="Times New Roman" w:ascii="Times New Roman" w:hAnsi="Times New Roman"/>
        </w:rPr>
        <w:t>FGT</w:t>
      </w:r>
    </w:p>
    <w:p>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leader="none"/>
          <w:tab w:val="left" w:pos="360" w:leader="none"/>
          <w:tab w:val="left" w:pos="450" w:leader="none"/>
          <w:tab w:val="left" w:pos="4220" w:leader="none"/>
          <w:tab w:val="left" w:pos="5136" w:leader="none"/>
          <w:tab w:val="left" w:pos="6052" w:leader="none"/>
          <w:tab w:val="left" w:pos="6968" w:leader="none"/>
          <w:tab w:val="left" w:pos="7884" w:leader="none"/>
          <w:tab w:val="left" w:pos="8800" w:leader="none"/>
          <w:tab w:val="left" w:pos="9716" w:leader="none"/>
          <w:tab w:val="left" w:pos="10632" w:leader="none"/>
          <w:tab w:val="left" w:pos="11548" w:leader="none"/>
          <w:tab w:val="left" w:pos="12464" w:leader="none"/>
          <w:tab w:val="left" w:pos="13380" w:leader="none"/>
          <w:tab w:val="left" w:pos="14296" w:leader="none"/>
        </w:tabs>
        <w:ind w:hanging="720" w:start="1080" w:end="0"/>
        <w:rPr>
          <w:rFonts w:ascii="Times New Roman" w:hAnsi="Times New Roman" w:eastAsia="Times New Roman" w:cs="Times New Roman"/>
          <w:sz w:val="24"/>
          <w:szCs w:val="24"/>
        </w:rPr>
      </w:pPr>
      <w:r>
        <w:rPr>
          <w:rFonts w:eastAsia="Times New Roman" w:cs="Times New Roman" w:ascii="Times New Roman" w:hAnsi="Times New Roman"/>
          <w:sz w:val="24"/>
          <w:szCs w:val="24"/>
        </w:rPr>
        <w:t>Received approval commence service from Compressor  Stations  12A  and  14A  of  the FGT Phase IV Expansion Project, CP99-94</w:t>
      </w:r>
    </w:p>
    <w:p>
      <w:pPr>
        <w:pStyle w:val="HTMLPreformatted"/>
        <w:numPr>
          <w:ilvl w:val="0"/>
          <w:numId w:val="0"/>
        </w:numPr>
        <w:tabs>
          <w:tab w:val="clear" w:pos="916"/>
          <w:tab w:val="clear" w:pos="1832"/>
          <w:tab w:val="clear" w:pos="2748"/>
          <w:tab w:val="clear" w:pos="3664"/>
          <w:tab w:val="left" w:pos="360" w:leader="none"/>
          <w:tab w:val="left" w:pos="72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3"/>
        <w:numPr>
          <w:ilvl w:val="0"/>
          <w:numId w:val="0"/>
        </w:numPr>
        <w:tabs>
          <w:tab w:val="clear" w:pos="540"/>
          <w:tab w:val="left" w:pos="720" w:leader="none"/>
        </w:tabs>
        <w:ind w:hanging="0" w:start="360"/>
        <w:rPr>
          <w:rFonts w:ascii="Times New Roman" w:hAnsi="Times New Roman" w:eastAsia="Times New Roman" w:cs="Times New Roman"/>
        </w:rPr>
      </w:pPr>
      <w:r>
        <w:rPr>
          <w:rFonts w:eastAsia="Times New Roman" w:cs="Times New Roman" w:ascii="Times New Roman" w:hAnsi="Times New Roman"/>
        </w:rPr>
        <w:t>Transwestern</w:t>
      </w:r>
    </w:p>
    <w:p>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leader="none"/>
          <w:tab w:val="left" w:pos="360" w:leader="none"/>
          <w:tab w:val="left" w:pos="450" w:leader="none"/>
          <w:tab w:val="left" w:pos="4220" w:leader="none"/>
          <w:tab w:val="left" w:pos="5136" w:leader="none"/>
          <w:tab w:val="left" w:pos="6052" w:leader="none"/>
          <w:tab w:val="left" w:pos="6968" w:leader="none"/>
          <w:tab w:val="left" w:pos="7884" w:leader="none"/>
          <w:tab w:val="left" w:pos="8800" w:leader="none"/>
          <w:tab w:val="left" w:pos="9716" w:leader="none"/>
          <w:tab w:val="left" w:pos="10632" w:leader="none"/>
          <w:tab w:val="left" w:pos="11548" w:leader="none"/>
          <w:tab w:val="left" w:pos="12464" w:leader="none"/>
          <w:tab w:val="left" w:pos="13380" w:leader="none"/>
          <w:tab w:val="left" w:pos="14296" w:leader="none"/>
        </w:tabs>
        <w:ind w:hanging="720" w:start="1080" w:end="0"/>
        <w:rPr>
          <w:rFonts w:ascii="Times New Roman" w:hAnsi="Times New Roman" w:eastAsia="Times New Roman" w:cs="Times New Roman"/>
          <w:sz w:val="24"/>
          <w:szCs w:val="24"/>
        </w:rPr>
      </w:pPr>
      <w:r>
        <w:rPr>
          <w:rFonts w:eastAsia="Times New Roman" w:cs="Times New Roman" w:ascii="Times New Roman" w:hAnsi="Times New Roman"/>
          <w:sz w:val="24"/>
          <w:szCs w:val="24"/>
        </w:rPr>
        <w:t>Notice of filing to implement a negotiated rate with Sempra Energy, RP97-288.</w:t>
      </w:r>
    </w:p>
    <w:p>
      <w:pPr>
        <w:pStyle w:val="HTMLPreformatted"/>
        <w:numPr>
          <w:ilvl w:val="0"/>
          <w:numId w:val="0"/>
        </w:numPr>
        <w:tabs>
          <w:tab w:val="clear" w:pos="916"/>
          <w:tab w:val="clear" w:pos="1832"/>
          <w:tab w:val="clear" w:pos="2748"/>
          <w:tab w:val="clear" w:pos="3664"/>
          <w:tab w:val="left" w:pos="360" w:leader="none"/>
          <w:tab w:val="left" w:pos="72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TMLPreformatted"/>
        <w:numPr>
          <w:ilvl w:val="0"/>
          <w:numId w:val="0"/>
        </w:numPr>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Footer"/>
        <w:numPr>
          <w:ilvl w:val="0"/>
          <w:numId w:val="0"/>
        </w:numPr>
        <w:tabs>
          <w:tab w:val="clear" w:pos="4320"/>
          <w:tab w:val="clear" w:pos="8640"/>
        </w:tabs>
        <w:ind w:hanging="0" w:start="0"/>
        <w:rPr>
          <w:rFonts w:ascii="Times New Roman" w:hAnsi="Times New Roman" w:eastAsia="Times New Roman" w:cs="Times New Roman"/>
        </w:rPr>
      </w:pPr>
      <w:r>
        <w:rPr>
          <w:rFonts w:eastAsia="Times New Roman" w:cs="Times New Roman" w:ascii="Times New Roman" w:hAnsi="Times New Roman"/>
        </w:rPr>
        <w:t xml:space="preserve">          </w:t>
      </w:r>
    </w:p>
    <w:p>
      <w:pPr>
        <w:pStyle w:val="Footer"/>
        <w:numPr>
          <w:ilvl w:val="0"/>
          <w:numId w:val="0"/>
        </w:numPr>
        <w:tabs>
          <w:tab w:val="clear" w:pos="4320"/>
          <w:tab w:val="clear" w:pos="8640"/>
        </w:tabs>
        <w:ind w:hanging="0" w:start="0"/>
        <w:rPr>
          <w:rFonts w:ascii="Times New Roman" w:hAnsi="Times New Roman" w:eastAsia="Times New Roman" w:cs="Times New Roman"/>
        </w:rPr>
      </w:pPr>
      <w:r>
        <w:rPr>
          <w:rFonts w:eastAsia="Times New Roman" w:cs="Times New Roman" w:ascii="Times New Roman" w:hAnsi="Times New Roman"/>
        </w:rPr>
      </w:r>
    </w:p>
    <w:p>
      <w:pPr>
        <w:pStyle w:val="Heading4"/>
        <w:numPr>
          <w:ilvl w:val="0"/>
          <w:numId w:val="0"/>
        </w:numPr>
        <w:ind w:hanging="0" w:start="0"/>
        <w:rPr/>
      </w:pPr>
      <w:r>
        <w:rPr/>
        <w:t>Specific FERC Cases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 w:val="left" w:pos="360" w:leader="none"/>
        </w:tabs>
        <w:ind w:hanging="720" w:start="1080" w:end="0"/>
        <w:rPr/>
      </w:pPr>
      <w:r>
        <w:rPr>
          <w:rFonts w:eastAsia="Times New Roman" w:cs="Times New Roman" w:ascii="Times New Roman" w:hAnsi="Times New Roman"/>
          <w:b/>
          <w:bCs/>
        </w:rPr>
        <w:t>Tennessee Settles Production Area Rate Issue with Reliant, RP95-112.</w:t>
      </w:r>
      <w:r>
        <w:rPr>
          <w:rFonts w:eastAsia="Times New Roman" w:cs="Times New Roman" w:ascii="Times New Roman" w:hAnsi="Times New Roman"/>
        </w:rPr>
        <w:t xml:space="preserve">  This proceeding originated in a rate case by Tennessee.  Reliant challenged the settlement arguing that Tennessee’s use of a systemwide rate discouraged the development of market centers.  FERC approved the settlement and Reliant appealed to the DC Circuit Court.  The court remanded the case to FERC.  This order approves a settlement between Tennessee and Reliant ending the dispute. Under the settlement, Tennessee will discount the commodity portion of its firm rate schedule for gas shipped from Perryville to Zone 6.  Keyspan and NYPSC are now attempting to revoke their consent of the earlier rate settlement so that the investigation of the possible anti-competitive effect of Tennessee’s rate structure can continue.  FERC refuses, stating that parties can’t change their position just because the settlement now appears less desirable.  The FERC observes that it could take up the issue of Tennessee’s rate design on its own, but elects not to in order to preserve the benefits of the rate settlement.</w:t>
      </w:r>
    </w:p>
    <w:p>
      <w:pPr>
        <w:pStyle w:val="Footer"/>
        <w:numPr>
          <w:ilvl w:val="0"/>
          <w:numId w:val="0"/>
        </w:numPr>
        <w:tabs>
          <w:tab w:val="clear" w:pos="4320"/>
          <w:tab w:val="clear" w:pos="86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 w:val="left" w:pos="360" w:leader="none"/>
        </w:tabs>
        <w:ind w:hanging="720" w:start="1080" w:end="0"/>
        <w:rPr/>
      </w:pPr>
      <w:r>
        <w:rPr>
          <w:rFonts w:eastAsia="Times New Roman" w:cs="Times New Roman" w:ascii="Times New Roman" w:hAnsi="Times New Roman"/>
          <w:b/>
          <w:bCs/>
        </w:rPr>
        <w:t xml:space="preserve">Kern River Order Regarding Term Differentiated Rates, RP00-298.  </w:t>
      </w:r>
      <w:r>
        <w:rPr>
          <w:rFonts w:eastAsia="Times New Roman" w:cs="Times New Roman" w:ascii="Times New Roman" w:hAnsi="Times New Roman"/>
        </w:rPr>
        <w:t xml:space="preserve">Only Sempra took issue with Kern River’s proposal to offer transportation service under existing firm rate schedules using different rate options on a voluntary basis.  Sempra claimed that a section 4 rate case must be applied before instituting term differentiated rates under Order 637.  FERC explains in this order on rehearing that that these are not the term differentiated rates envisioned in Order 637.  Under Kern’s proposal, there is no requirement for a general reallocation of revenue responsibility among customer classes.  Kern’s cost of service, except for financing and depreciation components will remain unchanged.  Further, this service is proposed as voluntary.  Sempra’s request for rehearing is denied.  </w:t>
      </w:r>
    </w:p>
    <w:p>
      <w:pPr>
        <w:pStyle w:val="Normal"/>
        <w:numPr>
          <w:ilvl w:val="0"/>
          <w:numId w:val="0"/>
        </w:numPr>
        <w:tabs>
          <w:tab w:val="clear" w:pos="540"/>
          <w:tab w:val="left" w:pos="720" w:leader="none"/>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 w:val="left" w:pos="360" w:leader="none"/>
        </w:tabs>
        <w:ind w:hanging="720" w:start="1080" w:end="0"/>
        <w:rPr>
          <w:rFonts w:ascii="Times New Roman" w:hAnsi="Times New Roman" w:eastAsia="Times New Roman" w:cs="Times New Roman"/>
          <w:b/>
          <w:bCs/>
        </w:rPr>
      </w:pPr>
      <w:r>
        <w:rPr>
          <w:rFonts w:eastAsia="Times New Roman" w:cs="Times New Roman" w:ascii="Times New Roman" w:hAnsi="Times New Roman"/>
          <w:b/>
          <w:bCs/>
        </w:rPr>
        <w:t>FERC Affirms Removal of 20-Year Matching Cap, Tennessee, RP96-275</w:t>
      </w:r>
      <w:r>
        <w:rPr>
          <w:rFonts w:eastAsia="Times New Roman" w:cs="Times New Roman" w:ascii="Times New Roman" w:hAnsi="Times New Roman"/>
        </w:rPr>
        <w:t xml:space="preserve">.  In an order issued February 7, FERC reaffirmed prior orders eliminating the 20-year cap for matching bids in the NPV method and considering only the new incremental revenue in allocating point rights.  On rehearing parties objected to the removal of the 20-year cap for bidding, arguing that it would give Tennessee market power.  FERC responds that the regulatory protections of a maximum rate , the requirement to sell all available capacity to shipper willing to pay maximum rates, and the marketing affiliate rules are sufficient protection against market power.  FERC reaffirms the removal of the 20-year matching cap.  Commissioner Massey dissents, arguing that the lack of a cap with augment pipeline market power.  This rehearing order also finds that it is reasonable to allocate scare primary point capacity based on the incremental revenues. </w:t>
      </w:r>
    </w:p>
    <w:p>
      <w:pPr>
        <w:pStyle w:val="Normal"/>
        <w:numPr>
          <w:ilvl w:val="0"/>
          <w:numId w:val="0"/>
        </w:numPr>
        <w:tabs>
          <w:tab w:val="clear" w:pos="540"/>
          <w:tab w:val="left" w:pos="720" w:leader="none"/>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leader="none"/>
          <w:tab w:val="left" w:pos="360" w:leader="none"/>
          <w:tab w:val="left" w:pos="1472" w:leader="none"/>
          <w:tab w:val="left" w:pos="2388" w:leader="none"/>
          <w:tab w:val="left" w:pos="3304" w:leader="none"/>
          <w:tab w:val="left" w:pos="4220" w:leader="none"/>
          <w:tab w:val="left" w:pos="5136" w:leader="none"/>
          <w:tab w:val="left" w:pos="6052" w:leader="none"/>
          <w:tab w:val="left" w:pos="6968" w:leader="none"/>
          <w:tab w:val="left" w:pos="7884" w:leader="none"/>
          <w:tab w:val="left" w:pos="8800" w:leader="none"/>
          <w:tab w:val="left" w:pos="9716" w:leader="none"/>
          <w:tab w:val="left" w:pos="10632" w:leader="none"/>
          <w:tab w:val="left" w:pos="11548" w:leader="none"/>
          <w:tab w:val="left" w:pos="12464" w:leader="none"/>
          <w:tab w:val="left" w:pos="13380" w:leader="none"/>
          <w:tab w:val="left" w:pos="14296" w:leader="none"/>
        </w:tabs>
        <w:ind w:hanging="900" w:start="1080" w:end="0"/>
        <w:rPr/>
      </w:pPr>
      <w:r>
        <w:rPr>
          <w:rFonts w:eastAsia="Times New Roman" w:cs="Times New Roman" w:ascii="Times New Roman" w:hAnsi="Times New Roman"/>
          <w:b/>
          <w:bCs/>
          <w:sz w:val="24"/>
          <w:szCs w:val="24"/>
        </w:rPr>
        <w:t>Southern Proposes to Remove No-Notice Restrictions,  RP01-216.</w:t>
      </w:r>
      <w:r>
        <w:rPr>
          <w:rFonts w:eastAsia="Times New Roman" w:cs="Times New Roman" w:ascii="Times New Roman" w:hAnsi="Times New Roman"/>
          <w:sz w:val="24"/>
          <w:szCs w:val="24"/>
        </w:rPr>
        <w:t xml:space="preserve">  Southern proposes to revise its tariff to remove the historical  restriction  on its Rate Schedule FT-NN  service so that any customer can contract for no-notice service.  Of  particular importance is the fact that this will allow  shippers  to acquire FT-NN service through capacity release.   </w:t>
      </w:r>
    </w:p>
    <w:p>
      <w:pPr>
        <w:pStyle w:val="Normal"/>
        <w:tabs>
          <w:tab w:val="clear" w:pos="540"/>
          <w:tab w:val="left" w:pos="720" w:leader="none"/>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 w:val="left" w:pos="720" w:leader="none"/>
        </w:tabs>
        <w:ind w:start="360" w:end="0"/>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Electric Matters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BodyText2"/>
        <w:numPr>
          <w:ilvl w:val="0"/>
          <w:numId w:val="5"/>
        </w:numPr>
        <w:tabs>
          <w:tab w:val="clear" w:pos="540"/>
          <w:tab w:val="left" w:pos="0" w:leader="none"/>
          <w:tab w:val="left" w:pos="360" w:leader="none"/>
        </w:tabs>
        <w:ind w:hanging="360" w:start="1080" w:end="0"/>
        <w:rPr/>
      </w:pPr>
      <w:r>
        <w:rPr>
          <w:b/>
          <w:bCs/>
        </w:rPr>
        <w:t>EPMI Files Protest of Entergy Transco</w:t>
      </w:r>
      <w:r>
        <w:rPr/>
        <w:t>.  EPMI argues that the rate issues are premature until Entergy has filed to join SPP; there is no support for its proposed innovative rates (for example, (i) Entergy would get 5% of a customer-funded transmission project as a development fee and (ii) extra 300 basis points for certain projects); requests that Commission require grandfathered contracts to be addressed; expresses concern of Entergy's request to continue the problematic source and sink limitations</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INGAA</w:t>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6"/>
        </w:numPr>
        <w:tabs>
          <w:tab w:val="clear" w:pos="540"/>
          <w:tab w:val="left" w:pos="0" w:leader="none"/>
          <w:tab w:val="left" w:pos="360" w:leader="none"/>
        </w:tabs>
        <w:ind w:hanging="720" w:start="1080" w:end="0"/>
        <w:rPr/>
      </w:pPr>
      <w:r>
        <w:rPr>
          <w:rFonts w:eastAsia="Times New Roman" w:cs="Times New Roman" w:ascii="Times New Roman" w:hAnsi="Times New Roman"/>
          <w:b/>
          <w:bCs/>
        </w:rPr>
        <w:t xml:space="preserve">INGAA will Intervene and File Comments in Texas Eastern Corp, CP95-218-003.  </w:t>
      </w:r>
      <w:r>
        <w:rPr>
          <w:rFonts w:eastAsia="Times New Roman" w:cs="Times New Roman" w:ascii="Times New Roman" w:hAnsi="Times New Roman"/>
        </w:rPr>
        <w:t>On January 16, Indicated Shippers and Dynegy took rehearing of the December 14, 2000 Texas Eastern order that held that pipelines do not need preapproval from FERC to acquire capacity on other pipelines.  Indicated Shippers and Dynegy want pipelines to seek FERC approval prior to contracting for offsystem capacity.  INGAA will intervene and filed comments in support of the December 14 order.</w:t>
      </w:r>
      <w:r>
        <w:rPr>
          <w:rFonts w:eastAsia="Times New Roman" w:cs="Times New Roman" w:ascii="Times New Roman" w:hAnsi="Times New Roman"/>
          <w:b/>
          <w:bCs/>
        </w:rPr>
        <w:t xml:space="preserve">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6"/>
        </w:numPr>
        <w:tabs>
          <w:tab w:val="clear" w:pos="540"/>
          <w:tab w:val="left" w:pos="0" w:leader="none"/>
          <w:tab w:val="left" w:pos="360" w:leader="none"/>
        </w:tabs>
        <w:ind w:hanging="720" w:start="1080" w:end="0"/>
        <w:rPr>
          <w:rFonts w:ascii="Times New Roman" w:hAnsi="Times New Roman" w:eastAsia="Times New Roman" w:cs="Times New Roman"/>
          <w:b/>
          <w:bCs/>
        </w:rPr>
      </w:pPr>
      <w:r>
        <w:rPr>
          <w:rFonts w:eastAsia="Times New Roman" w:cs="Times New Roman" w:ascii="Times New Roman" w:hAnsi="Times New Roman"/>
          <w:b/>
          <w:bCs/>
        </w:rPr>
        <w:t>Dynegy Drops out of INGAA.</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Pipeline Safety</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6"/>
        </w:numPr>
        <w:tabs>
          <w:tab w:val="left" w:pos="0" w:leader="none"/>
          <w:tab w:val="left" w:pos="360" w:leader="none"/>
          <w:tab w:val="left" w:pos="540" w:leader="none"/>
        </w:tabs>
        <w:ind w:hanging="900" w:start="1260" w:end="0"/>
        <w:rPr/>
      </w:pPr>
      <w:bookmarkStart w:id="4" w:name="_MailData"/>
      <w:r>
        <w:rPr>
          <w:rFonts w:eastAsia="Times New Roman" w:cs="Times New Roman" w:ascii="Times New Roman" w:hAnsi="Times New Roman"/>
          <w:b/>
          <w:bCs/>
          <w:color w:val="000000"/>
        </w:rPr>
        <w:t xml:space="preserve">Senate Adopts Pipeline Safety Bill.  </w:t>
      </w:r>
      <w:r>
        <w:rPr>
          <w:rStyle w:val="EmailStyle24"/>
          <w:rFonts w:eastAsia="Times New Roman" w:cs="Times New Roman" w:ascii="Times New Roman" w:hAnsi="Times New Roman"/>
          <w:sz w:val="24"/>
          <w:szCs w:val="24"/>
        </w:rPr>
        <w:t xml:space="preserve">On February 8, the US Senate adopted a pipeline safety measure (S.235) was similar to the legislation adopted by the Senate last year, but with an additional requirement to inspect pipelines every five years.  The DOT inspector general would have some discretion to lift the requirement based on capabilities, more appropriate technical monitoring, or the where the inspection would interrupt necessary supply.  As with the bill adopted last year, pipelines would be required to submit risk assessment and inspection plans, submit plans to enhance the qualifications of pipeline personnel and there will be increased fines for violations. Certainly, we were disappointed by the addition of the late amendment, but are hopeful that there will still be opportunities to improve the language in committee.  </w:t>
      </w:r>
      <w:bookmarkEnd w:id="4"/>
      <w:r>
        <w:rPr>
          <w:rStyle w:val="EmailStyle24"/>
          <w:rFonts w:eastAsia="Times New Roman" w:cs="Times New Roman" w:ascii="Times New Roman" w:hAnsi="Times New Roman"/>
          <w:sz w:val="24"/>
          <w:szCs w:val="24"/>
        </w:rPr>
        <w:t xml:space="preserve">The House is expected to consider a bill with even more prescriptive requirements.  </w:t>
      </w:r>
    </w:p>
    <w:p>
      <w:pPr>
        <w:pStyle w:val="Normal"/>
        <w:numPr>
          <w:ilvl w:val="0"/>
          <w:numId w:val="0"/>
        </w:numPr>
        <w:tabs>
          <w:tab w:val="clear" w:pos="540"/>
        </w:tabs>
        <w:ind w:hanging="0" w:start="0"/>
        <w:jc w:val="center"/>
        <w:rPr>
          <w:rStyle w:val="EmailStyle24"/>
          <w:rFonts w:ascii="Times New Roman" w:hAnsi="Times New Roman" w:eastAsia="Times New Roman" w:cs="Times New Roman"/>
          <w:b/>
          <w:bCs/>
          <w:sz w:val="24"/>
          <w:szCs w:val="24"/>
        </w:rPr>
      </w:pPr>
      <w:r>
        <w:rPr/>
      </w:r>
    </w:p>
    <w:p>
      <w:pPr>
        <w:pStyle w:val="Heading4"/>
        <w:numPr>
          <w:ilvl w:val="0"/>
          <w:numId w:val="0"/>
        </w:numPr>
        <w:ind w:hanging="0" w:start="0"/>
        <w:rPr>
          <w:rFonts w:ascii="Times New Roman" w:hAnsi="Times New Roman" w:eastAsia="Times New Roman" w:cs="Times New Roman"/>
          <w:b w:val="false"/>
          <w:bCs w:val="false"/>
        </w:rPr>
      </w:pPr>
      <w:r>
        <w:rPr>
          <w:rFonts w:eastAsia="Times New Roman" w:cs="Times New Roman"/>
          <w:b w:val="false"/>
          <w:bCs w:val="false"/>
        </w:rPr>
      </w:r>
    </w:p>
    <w:p>
      <w:pPr>
        <w:pStyle w:val="Heading4"/>
        <w:numPr>
          <w:ilvl w:val="0"/>
          <w:numId w:val="0"/>
        </w:numPr>
        <w:ind w:hanging="0" w:start="0"/>
        <w:rPr/>
      </w:pPr>
      <w:r>
        <w:rPr/>
        <w:t>Legislative</w:t>
      </w:r>
    </w:p>
    <w:p>
      <w:pPr>
        <w:pStyle w:val="Normal"/>
        <w:numPr>
          <w:ilvl w:val="0"/>
          <w:numId w:val="0"/>
        </w:numPr>
        <w:ind w:hanging="0" w:start="0"/>
        <w:rPr/>
      </w:pPr>
      <w:r>
        <w:rPr/>
      </w:r>
    </w:p>
    <w:p>
      <w:pPr>
        <w:pStyle w:val="Normal"/>
        <w:numPr>
          <w:ilvl w:val="0"/>
          <w:numId w:val="6"/>
        </w:numPr>
        <w:tabs>
          <w:tab w:val="left" w:pos="0" w:leader="none"/>
          <w:tab w:val="left" w:pos="540" w:leader="none"/>
        </w:tabs>
        <w:ind w:hanging="900" w:start="1260" w:end="0"/>
        <w:rPr/>
      </w:pPr>
      <w:r>
        <w:rPr>
          <w:rFonts w:eastAsia="Times New Roman" w:cs="Times New Roman" w:ascii="Times New Roman" w:hAnsi="Times New Roman"/>
          <w:b/>
          <w:bCs/>
        </w:rPr>
        <w:t>Murkowski Energy Legislation</w:t>
      </w:r>
      <w:r>
        <w:rPr>
          <w:rFonts w:eastAsia="Times New Roman" w:cs="Times New Roman" w:ascii="Times New Roman" w:hAnsi="Times New Roman"/>
        </w:rPr>
        <w:t xml:space="preserve"> expected to be introduced next Tuesday.  Refer to last week’s report for a description of the expected bill.</w:t>
      </w:r>
    </w:p>
    <w:p>
      <w:pPr>
        <w:pStyle w:val="Footer"/>
        <w:numPr>
          <w:ilvl w:val="0"/>
          <w:numId w:val="0"/>
        </w:numPr>
        <w:tabs>
          <w:tab w:val="clear" w:pos="4320"/>
          <w:tab w:val="clear" w:pos="8640"/>
          <w:tab w:val="left" w:pos="900" w:leader="none"/>
        </w:tabs>
        <w:ind w:hanging="0" w:start="0"/>
        <w:rPr>
          <w:rFonts w:ascii="Times New Roman" w:hAnsi="Times New Roman" w:eastAsia="Times New Roman" w:cs="Times New Roman"/>
        </w:rPr>
      </w:pPr>
      <w:r>
        <w:rPr>
          <w:rFonts w:eastAsia="Times New Roman" w:cs="Times New Roman" w:ascii="Times New Roman" w:hAnsi="Times New Roman"/>
        </w:rPr>
      </w:r>
    </w:p>
    <w:p>
      <w:pPr>
        <w:pStyle w:val="Heading4"/>
        <w:numPr>
          <w:ilvl w:val="0"/>
          <w:numId w:val="0"/>
        </w:numPr>
        <w:ind w:hanging="0" w:start="0"/>
        <w:rPr/>
      </w:pPr>
      <w:r>
        <w:rPr/>
        <w:t>Industry</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6"/>
        </w:numPr>
        <w:tabs>
          <w:tab w:val="left" w:pos="0" w:leader="none"/>
          <w:tab w:val="left" w:pos="540" w:leader="none"/>
        </w:tabs>
        <w:ind w:hanging="900" w:start="1260" w:end="0"/>
        <w:rPr/>
      </w:pPr>
      <w:r>
        <w:rPr>
          <w:b/>
          <w:bCs/>
        </w:rPr>
        <w:t>EPSA Considers Whether to Become Active on Gas Issues</w:t>
      </w:r>
      <w:r>
        <w:rPr/>
        <w:t xml:space="preserve">.  EPSA has polled its members about whether EPSA should play a more proactive role on gas transportation issues at FERC.  </w:t>
      </w:r>
    </w:p>
    <w:p>
      <w:pPr>
        <w:pStyle w:val="Normal"/>
        <w:numPr>
          <w:ilvl w:val="0"/>
          <w:numId w:val="0"/>
        </w:numPr>
        <w:spacing w:lineRule="atLeast" w:line="240"/>
        <w:ind w:hanging="0" w:start="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numPr>
          <w:ilvl w:val="0"/>
          <w:numId w:val="6"/>
        </w:numPr>
        <w:tabs>
          <w:tab w:val="left" w:pos="0" w:leader="none"/>
          <w:tab w:val="left" w:pos="540" w:leader="none"/>
        </w:tabs>
        <w:spacing w:lineRule="atLeast" w:line="240"/>
        <w:ind w:hanging="360" w:start="1260" w:end="0"/>
        <w:rPr/>
      </w:pPr>
      <w:r>
        <w:rPr>
          <w:rFonts w:eastAsia="Times New Roman" w:cs="Times New Roman" w:ascii="Times New Roman" w:hAnsi="Times New Roman"/>
          <w:b/>
          <w:bCs/>
          <w:color w:val="000000"/>
        </w:rPr>
        <w:t>Next Session of the Pipeline/Generator Dialogue</w:t>
      </w:r>
      <w:r>
        <w:rPr>
          <w:rFonts w:eastAsia="Times New Roman" w:cs="Times New Roman" w:ascii="Times New Roman" w:hAnsi="Times New Roman"/>
          <w:color w:val="000000"/>
        </w:rPr>
        <w:t xml:space="preserve"> is set for February 15, 10-2 at Reliant’s offices.  The generators have produced a revised version of the non-uniform rate of flow service.  One unworkable aspect of the current proposal is that the generators believe that they should be entitled to take gas on a non-uniform basis without buying NURF service if the gas is received into the pipeline on a non-uniform basis.</w:t>
      </w:r>
    </w:p>
    <w:p>
      <w:pPr>
        <w:pStyle w:val="Normal"/>
        <w:spacing w:lineRule="atLeast" w:line="24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tabs>
          <w:tab w:val="clear" w:pos="540"/>
        </w:tabs>
        <w:rPr>
          <w:rFonts w:ascii="Times New Roman" w:hAnsi="Times New Roman" w:eastAsia="Times New Roman" w:cs="Times New Roman"/>
          <w:color w:val="000000"/>
        </w:rPr>
      </w:pPr>
      <w:r>
        <w:rPr>
          <w:rFonts w:eastAsia="Times New Roman" w:cs="Times New Roman" w:ascii="Times New Roman" w:hAnsi="Times New Roman"/>
          <w:color w:val="000000"/>
        </w:rPr>
      </w:r>
    </w:p>
    <w:sectPr>
      <w:footerReference w:type="default" r:id="rId3"/>
      <w:footerReference w:type="first" r:id="rId4"/>
      <w:type w:val="nextPage"/>
      <w:pgSz w:w="12240" w:h="15840"/>
      <w:pgMar w:left="1440" w:right="1440" w:gutter="0" w:header="0" w:top="1080" w:footer="360" w:bottom="117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variable"/>
  </w:font>
  <w:font w:name="Arial Unicode MS">
    <w:charset w:val="80"/>
    <w:family w:val="swiss"/>
    <w:pitch w:val="variable"/>
  </w:font>
  <w:font w:name="CG Times (W1)">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szCs w:val="12"/>
      </w:rPr>
    </w:pPr>
    <w:r>
      <w:rPr>
        <w:sz w:val="12"/>
        <w:szCs w:val="12"/>
      </w:rPr>
      <w:t>WK7_2_9.doc</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461.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b/>
      <w:bCs/>
    </w:rPr>
  </w:style>
  <w:style w:type="paragraph" w:styleId="Heading2">
    <w:name w:val="heading 2"/>
    <w:basedOn w:val="Normal"/>
    <w:next w:val="Normal"/>
    <w:qFormat/>
    <w:pPr>
      <w:keepNext w:val="true"/>
      <w:numPr>
        <w:ilvl w:val="1"/>
        <w:numId w:val="1"/>
      </w:numPr>
      <w:tabs>
        <w:tab w:val="clear" w:pos="540"/>
      </w:tabs>
      <w:ind w:firstLine="360" w:start="0" w:end="0"/>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jc w:val="center"/>
      <w:outlineLvl w:val="3"/>
    </w:pPr>
    <w:rPr>
      <w:rFonts w:ascii="Times New Roman" w:hAnsi="Times New Roman" w:eastAsia="Times New Roman" w:cs="Times New Roman"/>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EmailStyle24">
    <w:name w:val="EmailStyle24"/>
    <w:basedOn w:val="DefaultParagraphFont"/>
    <w:qFormat/>
    <w:rPr>
      <w:rFonts w:ascii="Arial" w:hAnsi="Arial" w:eastAsia="Arial" w:cs="Arial"/>
      <w:color w:val="000000"/>
      <w:sz w:val="20"/>
      <w:szCs w:val="20"/>
    </w:rPr>
  </w:style>
  <w:style w:type="character" w:styleId="scorman">
    <w:name w:val="scorman"/>
    <w:basedOn w:val="DefaultParagraphFont"/>
    <w:qFormat/>
    <w:rPr>
      <w:rFonts w:ascii="Arial" w:hAnsi="Arial" w:eastAsia="Arial" w:cs="Arial"/>
      <w:color w:val="auto"/>
      <w:sz w:val="20"/>
      <w:szCs w:val="20"/>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tLeast" w:line="240"/>
    </w:pPr>
    <w:rPr>
      <w:rFonts w:ascii="Times New Roman" w:hAnsi="Times New Roman" w:eastAsia="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BodyText2">
    <w:name w:val="Body Text 2"/>
    <w:basedOn w:val="Normal"/>
    <w:qFormat/>
    <w:pPr>
      <w:spacing w:lineRule="atLeast" w:line="240"/>
      <w:ind w:hanging="0" w:start="360" w:end="0"/>
    </w:pPr>
    <w:rPr>
      <w:rFonts w:ascii="Times New Roman" w:hAnsi="Times New Roman" w:eastAsia="Times New Roman" w:cs="Times New Roman"/>
      <w:color w:val="000000"/>
    </w:rPr>
  </w:style>
  <w:style w:type="paragraph" w:styleId="HTMLPreformatted">
    <w:name w:val="HTML Preformatted"/>
    <w:basedOn w:val="Normal"/>
    <w:qFormat/>
    <w:pPr>
      <w:tabs>
        <w:tab w:val="clear" w:pos="5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2001-02-09T19:06:00Z</dcterms:created>
  <dc:creator>Jan Butler</dc:creator>
  <dc:description/>
  <dc:language>en-CA</dc:language>
  <cp:lastModifiedBy>scorman</cp:lastModifiedBy>
  <cp:lastPrinted>2001-02-09T16:47:00Z</cp:lastPrinted>
  <dcterms:modified xsi:type="dcterms:W3CDTF">2001-02-09T20:18:00Z</dcterms:modified>
  <cp:revision>10</cp:revision>
  <dc:subject/>
  <dc:title>Weekly Regulatory Report template</dc:title>
</cp:coreProperties>
</file>