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szCs w:val="22"/>
        </w:rPr>
      </w:pPr>
      <w:r>
        <w:rPr>
          <w:sz w:val="20"/>
          <w:szCs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GAS PIPELINE GROUP</w:t>
      </w:r>
    </w:p>
    <w:p>
      <w:pPr>
        <w:pStyle w:val="Normal"/>
        <w:rPr>
          <w:b/>
          <w:bCs/>
          <w:sz w:val="22"/>
          <w:szCs w:val="22"/>
        </w:rPr>
      </w:pPr>
      <w:r>
        <w:rPr>
          <w:b/>
          <w:bCs/>
          <w:sz w:val="22"/>
          <w:szCs w:val="22"/>
        </w:rPr>
      </w:r>
    </w:p>
    <w:p>
      <w:pPr>
        <w:pStyle w:val="Heading"/>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ab/>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300" w:hRule="exact"/>
        </w:trPr>
        <w:tc>
          <w:tcPr>
            <w:tcW w:w="1170" w:type="dxa"/>
            <w:tcBorders/>
          </w:tcPr>
          <w:p>
            <w:pPr>
              <w:pStyle w:val="Normal"/>
              <w:ind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To: </w:t>
            </w:r>
          </w:p>
        </w:tc>
        <w:tc>
          <w:tcPr>
            <w:tcW w:w="4230" w:type="dxa"/>
            <w:tcBorders/>
          </w:tcPr>
          <w:p>
            <w:pPr>
              <w:pStyle w:val="To"/>
              <w:rPr>
                <w:rFonts w:ascii="CG Times (W1);Times New Roman" w:hAnsi="CG Times (W1);Times New Roman" w:eastAsia="CG Times (W1);Times New Roman" w:cs="CG Times (W1);Times New Roman"/>
                <w:sz w:val="24"/>
                <w:szCs w:val="24"/>
              </w:rPr>
            </w:pPr>
            <w:bookmarkStart w:id="0" w:name="to"/>
            <w:bookmarkEnd w:id="0"/>
            <w:r>
              <w:rPr>
                <w:rFonts w:eastAsia="CG Times (W1);Times New Roman" w:cs="CG Times (W1);Times New Roman" w:ascii="CG Times (W1);Times New Roman" w:hAnsi="CG Times (W1);Times New Roman"/>
                <w:sz w:val="24"/>
                <w:szCs w:val="24"/>
              </w:rPr>
              <w:t>Distribution</w:t>
            </w:r>
          </w:p>
          <w:p>
            <w:pPr>
              <w:pStyle w:val="To"/>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16" w:hRule="exac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00" w:hRule="exact"/>
        </w:trPr>
        <w:tc>
          <w:tcPr>
            <w:tcW w:w="1170" w:type="dxa"/>
            <w:tcBorders/>
          </w:tcPr>
          <w:p>
            <w:pPr>
              <w:pStyle w:val="Normal"/>
              <w:ind w:firstLine="28"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From:</w:t>
            </w:r>
          </w:p>
        </w:tc>
        <w:tc>
          <w:tcPr>
            <w:tcW w:w="4230" w:type="dxa"/>
            <w:tcBorders/>
          </w:tcPr>
          <w:p>
            <w:pPr>
              <w:pStyle w:val="From"/>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Jan Butler / Shelley Corman</w:t>
            </w:r>
          </w:p>
        </w:tc>
        <w:tc>
          <w:tcPr>
            <w:tcW w:w="1418"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Department"/>
              <w:snapToGrid w:val="fals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bookmarkStart w:id="1" w:name="From"/>
            <w:bookmarkStart w:id="2" w:name="From"/>
            <w:bookmarkEnd w:id="2"/>
          </w:p>
        </w:tc>
      </w:tr>
      <w:tr>
        <w:trPr>
          <w:trHeight w:val="216" w:hRule="exac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391" w:hRule="exact"/>
        </w:trPr>
        <w:tc>
          <w:tcPr>
            <w:tcW w:w="1170"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Subject:</w:t>
            </w:r>
          </w:p>
        </w:tc>
        <w:tc>
          <w:tcPr>
            <w:tcW w:w="4230" w:type="dxa"/>
            <w:tcBorders>
              <w:bottom w:val="single" w:sz="18" w:space="0" w:color="000000"/>
            </w:tcBorders>
          </w:tcPr>
          <w:p>
            <w:pPr>
              <w:pStyle w:val="Normal"/>
              <w:rPr>
                <w:rFonts w:ascii="Times New Roman" w:hAnsi="Times New Roman" w:eastAsia="Times New Roman" w:cs="Times New Roman"/>
              </w:rPr>
            </w:pPr>
            <w:bookmarkStart w:id="3" w:name="Subject"/>
            <w:bookmarkEnd w:id="3"/>
            <w:r>
              <w:rPr>
                <w:rFonts w:eastAsia="Times New Roman" w:cs="Times New Roman" w:ascii="Times New Roman" w:hAnsi="Times New Roman"/>
              </w:rPr>
              <w:t>Weekly Regulatory Report</w:t>
            </w:r>
          </w:p>
        </w:tc>
        <w:tc>
          <w:tcPr>
            <w:tcW w:w="1418"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   </w:t>
            </w:r>
            <w:r>
              <w:rPr>
                <w:rFonts w:eastAsia="CG Times (W1);Times New Roman" w:cs="CG Times (W1);Times New Roman" w:ascii="CG Times (W1);Times New Roman" w:hAnsi="CG Times (W1);Times New Roman"/>
              </w:rPr>
              <w:t>Date:</w:t>
            </w:r>
          </w:p>
        </w:tc>
        <w:tc>
          <w:tcPr>
            <w:tcW w:w="2633" w:type="dxa"/>
            <w:tcBorders>
              <w:bottom w:val="single" w:sz="18" w:space="0" w:color="000000"/>
            </w:tcBorders>
          </w:tcPr>
          <w:p>
            <w:pPr>
              <w:pStyle w:val="Dat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February 4, 2000</w:t>
            </w:r>
          </w:p>
        </w:tc>
      </w:tr>
    </w:tbl>
    <w:p>
      <w:pPr>
        <w:pStyle w:val="Normal"/>
        <w:tabs>
          <w:tab w:val="clear" w:pos="540"/>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ind w:start="72" w:end="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General FERC Matters</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Commission Agenda for Public Meeting of February 9 Attached </w:t>
      </w:r>
      <w:r>
        <w:rPr>
          <w:rFonts w:eastAsia="Times New Roman" w:cs="Times New Roman" w:ascii="Times New Roman" w:hAnsi="Times New Roman"/>
          <w:sz w:val="16"/>
          <w:szCs w:val="16"/>
        </w:rPr>
        <w:t>[Attached:  2-2agenda.pdf].</w:t>
      </w:r>
      <w:r>
        <w:rPr>
          <w:rFonts w:eastAsia="Times New Roman" w:cs="Times New Roman" w:ascii="Times New Roman" w:hAnsi="Times New Roman"/>
        </w:rPr>
        <w:t xml:space="preserve">  Items of interest are noted below:</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Panhandle's proposed hourly firm service, RP00-162.</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Northern's revisions to termination procedures for interruptible deferred delivery service, RP0-164.</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CNG' proposed new fee for title transfer service, RP00-166.</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PG&amp;E Gas' proposed rates for interruptible parking and lending service, PR00-4.</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El Paso order on its Willcox lateral project, CP99-322.</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Certificate Policy Statement rehearing order expected, PL99-3.</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Optional Expedited Certificate NOPR expected, RM00-5.</w:t>
      </w:r>
    </w:p>
    <w:p>
      <w:pPr>
        <w:pStyle w:val="Normal"/>
        <w:numPr>
          <w:ilvl w:val="0"/>
          <w:numId w:val="3"/>
        </w:numPr>
        <w:tabs>
          <w:tab w:val="clear" w:pos="540"/>
          <w:tab w:val="left" w:pos="0" w:leader="none"/>
          <w:tab w:val="left" w:pos="360" w:leader="none"/>
        </w:tabs>
        <w:ind w:hanging="720" w:start="1080" w:end="0"/>
        <w:rPr>
          <w:rFonts w:ascii="Times New Roman" w:hAnsi="Times New Roman" w:eastAsia="Times New Roman" w:cs="Times New Roman"/>
        </w:rPr>
      </w:pPr>
      <w:r>
        <w:rPr>
          <w:rFonts w:eastAsia="Times New Roman" w:cs="Times New Roman" w:ascii="Times New Roman" w:hAnsi="Times New Roman"/>
        </w:rPr>
        <w:t>Final Rule expected on Short-term/Long Term Auction Procedures, RM98-10/12.</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New Legal Advisor Announced.  </w:t>
      </w:r>
      <w:r>
        <w:rPr>
          <w:rFonts w:eastAsia="Times New Roman" w:cs="Times New Roman" w:ascii="Times New Roman" w:hAnsi="Times New Roman"/>
        </w:rPr>
        <w:t>Commissioner Hebert announced that Robert H. Solomon is his new attorney-advisor.  Mr. Solomon was formerly with Commissioner Bailey's office since 1998 and in the Office of General Counsel for ten years prior to joining Commissioner Bailey.</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b/>
          <w:bCs/>
        </w:rPr>
        <w:t xml:space="preserve">Update.  </w:t>
      </w:r>
      <w:r>
        <w:rPr>
          <w:rFonts w:eastAsia="Times New Roman" w:cs="Times New Roman" w:ascii="Times New Roman" w:hAnsi="Times New Roman"/>
        </w:rPr>
        <w:t>In the event that you are having difficulty finding the list of designated officials on the FERC website, here is the URL address</w:t>
      </w:r>
      <w:r>
        <w:rPr>
          <w:rFonts w:eastAsia="Times New Roman" w:cs="Times New Roman" w:ascii="Times New Roman" w:hAnsi="Times New Roman"/>
          <w:sz w:val="20"/>
          <w:szCs w:val="20"/>
        </w:rPr>
        <w:t xml:space="preserve">:  </w:t>
      </w:r>
      <w:r>
        <w:rPr>
          <w:rStyle w:val="Hyperlink"/>
          <w:sz w:val="20"/>
          <w:szCs w:val="20"/>
        </w:rPr>
        <w:t>http://www.ferc.fed.us/sec/companymenupage.htm</w:t>
      </w:r>
      <w:r>
        <w:rPr>
          <w:rFonts w:eastAsia="Times New Roman" w:cs="Times New Roman" w:ascii="Times New Roman" w:hAnsi="Times New Roman"/>
          <w:sz w:val="20"/>
          <w:szCs w:val="20"/>
        </w:rPr>
        <w:t xml:space="preserve">.  </w:t>
      </w:r>
    </w:p>
    <w:p>
      <w:pPr>
        <w:pStyle w:val="Normal"/>
        <w:numPr>
          <w:ilvl w:val="0"/>
          <w:numId w:val="0"/>
        </w:numPr>
        <w:tabs>
          <w:tab w:val="clear" w:pos="540"/>
        </w:tabs>
        <w:ind w:hanging="0" w:start="0"/>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RIMSWeb Changes Proposed.  </w:t>
      </w:r>
      <w:r>
        <w:rPr>
          <w:rFonts w:eastAsia="Times New Roman" w:cs="Times New Roman" w:ascii="Times New Roman" w:hAnsi="Times New Roman"/>
        </w:rPr>
        <w:t xml:space="preserve">Changes have been incorporated into a test version of RIMS for a test period of three weeks.  During the three-week period, comments are encouraged - this will be our opportunity to advise RIMS of the effectiveness of their proposed system.  Please send your comments to </w:t>
      </w:r>
      <w:r>
        <w:rPr>
          <w:rStyle w:val="Hyperlink"/>
          <w:sz w:val="20"/>
          <w:szCs w:val="20"/>
        </w:rPr>
        <w:t>test@ferc.fed.us</w:t>
      </w:r>
      <w:r>
        <w:rPr>
          <w:rFonts w:eastAsia="Times New Roman" w:cs="Times New Roman" w:ascii="Times New Roman" w:hAnsi="Times New Roman"/>
        </w:rPr>
        <w:t xml:space="preserve">.  Some of the new features are:  </w:t>
      </w:r>
    </w:p>
    <w:p>
      <w:pPr>
        <w:pStyle w:val="Normal"/>
        <w:numPr>
          <w:ilvl w:val="0"/>
          <w:numId w:val="0"/>
        </w:numPr>
        <w:tabs>
          <w:tab w:val="clear" w:pos="540"/>
        </w:tabs>
        <w:ind w:hanging="0" w:start="720" w:end="0"/>
        <w:rPr>
          <w:rFonts w:ascii="Times New Roman" w:hAnsi="Times New Roman" w:eastAsia="Times New Roman" w:cs="Times New Roman"/>
        </w:rPr>
      </w:pPr>
      <w:r>
        <w:rPr>
          <w:rFonts w:eastAsia="Times New Roman" w:cs="Times New Roman" w:ascii="Times New Roman" w:hAnsi="Times New Roman"/>
        </w:rPr>
        <w:t>- eliminated date ranges</w:t>
      </w:r>
    </w:p>
    <w:p>
      <w:pPr>
        <w:pStyle w:val="Normal"/>
        <w:numPr>
          <w:ilvl w:val="0"/>
          <w:numId w:val="0"/>
        </w:numPr>
        <w:tabs>
          <w:tab w:val="clear" w:pos="540"/>
        </w:tabs>
        <w:ind w:hanging="0" w:start="720" w:end="0"/>
        <w:rPr>
          <w:rFonts w:ascii="Times New Roman" w:hAnsi="Times New Roman" w:eastAsia="Times New Roman" w:cs="Times New Roman"/>
        </w:rPr>
      </w:pPr>
      <w:r>
        <w:rPr>
          <w:rFonts w:eastAsia="Times New Roman" w:cs="Times New Roman" w:ascii="Times New Roman" w:hAnsi="Times New Roman"/>
        </w:rPr>
        <w:t>- added new print capability (yeah!)</w:t>
      </w:r>
    </w:p>
    <w:p>
      <w:pPr>
        <w:pStyle w:val="Normal"/>
        <w:numPr>
          <w:ilvl w:val="0"/>
          <w:numId w:val="0"/>
        </w:numPr>
        <w:tabs>
          <w:tab w:val="clear" w:pos="540"/>
        </w:tabs>
        <w:ind w:hanging="0" w:start="900" w:end="0"/>
        <w:rPr>
          <w:rFonts w:ascii="Times New Roman" w:hAnsi="Times New Roman" w:eastAsia="Times New Roman" w:cs="Times New Roman"/>
        </w:rPr>
      </w:pPr>
      <w:r>
        <w:rPr>
          <w:rFonts w:eastAsia="Times New Roman" w:cs="Times New Roman" w:ascii="Times New Roman" w:hAnsi="Times New Roman"/>
        </w:rPr>
        <w:t>- added a tariff/rate link to provide access to the Electric Rate Schedule/Tariff Volume query</w:t>
      </w:r>
    </w:p>
    <w:p>
      <w:pPr>
        <w:pStyle w:val="Normal"/>
        <w:numPr>
          <w:ilvl w:val="0"/>
          <w:numId w:val="0"/>
        </w:numPr>
        <w:tabs>
          <w:tab w:val="clear" w:pos="540"/>
        </w:tabs>
        <w:ind w:hanging="0" w:start="900" w:end="0"/>
        <w:rPr>
          <w:rFonts w:ascii="Times New Roman" w:hAnsi="Times New Roman" w:eastAsia="Times New Roman" w:cs="Times New Roman"/>
        </w:rPr>
      </w:pPr>
      <w:r>
        <w:rPr>
          <w:rFonts w:eastAsia="Times New Roman" w:cs="Times New Roman" w:ascii="Times New Roman" w:hAnsi="Times New Roman"/>
        </w:rPr>
        <w:t>- provides continued access to the menu</w:t>
      </w:r>
    </w:p>
    <w:p>
      <w:pPr>
        <w:pStyle w:val="Normal"/>
        <w:numPr>
          <w:ilvl w:val="0"/>
          <w:numId w:val="0"/>
        </w:numPr>
        <w:tabs>
          <w:tab w:val="clear" w:pos="540"/>
        </w:tabs>
        <w:ind w:hanging="0" w:start="900" w:end="0"/>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FERC Rulemaking</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b/>
          <w:bCs/>
        </w:rPr>
        <w:t xml:space="preserve">Electric Regional Collaborative Workshops, RM99-2.  </w:t>
      </w:r>
      <w:r>
        <w:rPr>
          <w:rFonts w:eastAsia="Times New Roman" w:cs="Times New Roman" w:ascii="Times New Roman" w:hAnsi="Times New Roman"/>
        </w:rPr>
        <w:t xml:space="preserve">In an effort to provide guidance, per the Commission's dictum in the voluntary formation of regional transmission organizations, the Commission has scheduled several workshops beginning in early March.  </w:t>
      </w:r>
      <w:r>
        <w:rPr>
          <w:rFonts w:eastAsia="Times New Roman" w:cs="Times New Roman" w:ascii="Times New Roman" w:hAnsi="Times New Roman"/>
          <w:sz w:val="16"/>
          <w:szCs w:val="16"/>
        </w:rPr>
        <w:t xml:space="preserve">[Attached:  rm99-2.doc]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GPG-Related FERC Orders and Filings</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Florida Gas</w:t>
      </w:r>
    </w:p>
    <w:p>
      <w:pPr>
        <w:pStyle w:val="Normal"/>
        <w:numPr>
          <w:ilvl w:val="0"/>
          <w:numId w:val="4"/>
        </w:numPr>
        <w:tabs>
          <w:tab w:val="clear" w:pos="540"/>
          <w:tab w:val="left" w:pos="0" w:leader="none"/>
        </w:tabs>
        <w:ind w:hanging="720" w:start="1440" w:end="0"/>
        <w:rPr>
          <w:rFonts w:ascii="Times New Roman" w:hAnsi="Times New Roman" w:eastAsia="Times New Roman" w:cs="Times New Roman"/>
        </w:rPr>
      </w:pPr>
      <w:r>
        <w:rPr>
          <w:rFonts w:eastAsia="Times New Roman" w:cs="Times New Roman" w:ascii="Times New Roman" w:hAnsi="Times New Roman"/>
        </w:rPr>
        <w:t>Noticed filing an adjustment of 0.25% to the base fuel reimbursement charge percentage effective February 1, 2000, RP00-167.</w:t>
      </w:r>
    </w:p>
    <w:p>
      <w:pPr>
        <w:pStyle w:val="Normal"/>
        <w:numPr>
          <w:ilvl w:val="0"/>
          <w:numId w:val="4"/>
        </w:numPr>
        <w:tabs>
          <w:tab w:val="clear" w:pos="540"/>
          <w:tab w:val="left" w:pos="0" w:leader="none"/>
        </w:tabs>
        <w:ind w:hanging="720" w:start="1440" w:end="0"/>
        <w:rPr>
          <w:rFonts w:ascii="Times New Roman" w:hAnsi="Times New Roman" w:eastAsia="Times New Roman" w:cs="Times New Roman"/>
        </w:rPr>
      </w:pPr>
      <w:r>
        <w:rPr>
          <w:rFonts w:eastAsia="Times New Roman" w:cs="Times New Roman" w:ascii="Times New Roman" w:hAnsi="Times New Roman"/>
        </w:rPr>
        <w:t xml:space="preserve">Noticed filing revising tariff to reflect reservation and usage rates effective March 1, 2000 as stipulated in the 1997 settlement, RP96-366.  </w:t>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Northern Natural</w:t>
      </w:r>
    </w:p>
    <w:p>
      <w:pPr>
        <w:pStyle w:val="Normal"/>
        <w:numPr>
          <w:ilvl w:val="0"/>
          <w:numId w:val="4"/>
        </w:numPr>
        <w:tabs>
          <w:tab w:val="clear" w:pos="540"/>
          <w:tab w:val="left" w:pos="0" w:leader="none"/>
        </w:tabs>
        <w:ind w:hanging="720" w:start="1440" w:end="0"/>
        <w:rPr>
          <w:rFonts w:ascii="Times New Roman" w:hAnsi="Times New Roman" w:eastAsia="Times New Roman" w:cs="Times New Roman"/>
        </w:rPr>
      </w:pPr>
      <w:r>
        <w:rPr>
          <w:rFonts w:eastAsia="Times New Roman" w:cs="Times New Roman" w:ascii="Times New Roman" w:hAnsi="Times New Roman"/>
        </w:rPr>
        <w:t>Received data request from Guardian Pipeline, CP00-36.</w:t>
      </w:r>
    </w:p>
    <w:p>
      <w:pPr>
        <w:pStyle w:val="Normal"/>
        <w:numPr>
          <w:ilvl w:val="0"/>
          <w:numId w:val="0"/>
        </w:numPr>
        <w:tabs>
          <w:tab w:val="clear" w:pos="540"/>
        </w:tabs>
        <w:ind w:hanging="0" w:start="720" w:end="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Specific FERC Cases</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Trunkline's Condensate Settlement Accepted, RP6-129.  </w:t>
      </w:r>
      <w:r>
        <w:rPr>
          <w:rFonts w:eastAsia="Times New Roman" w:cs="Times New Roman" w:ascii="Times New Roman" w:hAnsi="Times New Roman"/>
        </w:rPr>
        <w:t xml:space="preserve">At issue in this proceeding,  is Trunkline's retention of retrograde condensate removed at the Terrebonne Separation Facility in Louisiana.  The settlement addresses three main points:  1) Trunkline's tariff will be amended to confirm the right of a retrograde condensate owner to take its retrograde condensate; 2) refunds are applicable to two time periods; 3) cost-of-service decrease for Trunkline's customers in the field zone.  This decrease will be factored in with other cost-of-service items pending before the Commission in the Phase II proceedings (which is the subject of the recent ALJ initial decision).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360" w:end="0"/>
        <w:rPr>
          <w:rFonts w:ascii="Times New Roman" w:hAnsi="Times New Roman" w:eastAsia="Times New Roman" w:cs="Times New Roman"/>
        </w:rPr>
      </w:pPr>
      <w:r>
        <w:rPr>
          <w:rFonts w:eastAsia="Times New Roman" w:cs="Times New Roman" w:ascii="Times New Roman" w:hAnsi="Times New Roman"/>
        </w:rPr>
        <w:t xml:space="preserve">Trunkline does not own the gas processing facilities but has the right to process gas and retain the natural gas liquids according to its Order No. 636 restructuring proceedings.  However, shippers are to be permitted to have the first right to process.  Before the gas reaches the processing facilities, it flows through Trunkline's Separation Terrebonne facilities where Trunkline removes the liquids that have been transported from the production platforms in the Gulf and any retrograde that has liquified during transmission. Trunkline does not return the retrograde condensate but transfers it to an affiliate in return for a thermally equivalent amount of natural gas.  The affiliates sell the retrograde condensate and Trunkline returns the thermally equivalent amount of natural gas to the shippers.  The retrograde condensate generally has higher commercial value and the shippers believe they are entitled to receive the retrograde or be compensated with the higher value.  In the settlement, Trunkline is to refund and/or compensate by recalculation the net value of retrograde condensate to its shippers.  Effective August 1, 1996 Trunkline will reflect a cost-of-service reduction of $1 million in addition to any cost-of-service reductions arising from other issues in this proceeding.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360" w:start="720" w:end="0"/>
        <w:rPr>
          <w:rFonts w:ascii="Times New Roman" w:hAnsi="Times New Roman" w:eastAsia="Times New Roman" w:cs="Times New Roman"/>
        </w:rPr>
      </w:pPr>
      <w:r>
        <w:rPr>
          <w:rFonts w:eastAsia="Times New Roman" w:cs="Times New Roman" w:ascii="Times New Roman" w:hAnsi="Times New Roman"/>
          <w:b/>
          <w:bCs/>
        </w:rPr>
        <w:t xml:space="preserve">Natural Gas Pipeline Files New "Reverse" Storage Service, RP00-169.  </w:t>
      </w:r>
      <w:r>
        <w:rPr>
          <w:rFonts w:eastAsia="Times New Roman" w:cs="Times New Roman" w:ascii="Times New Roman" w:hAnsi="Times New Roman"/>
        </w:rPr>
        <w:t xml:space="preserve">On January 28, Natural filed a proposal to implement a new firm "reverse" storage service.  It is primarily designed to meet the needs to the electric generation market during summer peak periods.  This new service mirrors the fundamental elements in Natural's rate schedule DDS but with injection and withdrawal seasons reversed.  Withdrawals are available on a no-notice basis.  All withdrawals must be made during the summer and would be followed by winter injections.  </w:t>
      </w:r>
      <w:r>
        <w:rPr>
          <w:rFonts w:eastAsia="Times New Roman" w:cs="Times New Roman" w:ascii="Times New Roman" w:hAnsi="Times New Roman"/>
          <w:sz w:val="16"/>
          <w:szCs w:val="16"/>
        </w:rPr>
        <w:t>[Call me if you need copy of filing]</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540"/>
          <w:tab w:val="left" w:pos="0" w:leader="none"/>
        </w:tabs>
        <w:ind w:hanging="360" w:start="720" w:end="0"/>
        <w:rPr/>
      </w:pPr>
      <w:r>
        <w:rPr>
          <w:rFonts w:eastAsia="Times New Roman" w:cs="Times New Roman" w:ascii="Times New Roman" w:hAnsi="Times New Roman"/>
          <w:b/>
          <w:bCs/>
        </w:rPr>
        <w:t xml:space="preserve">Koch Order Authorizes Rolled-in Rates for New Loop.  </w:t>
      </w:r>
      <w:r>
        <w:rPr>
          <w:rFonts w:eastAsia="Times New Roman" w:cs="Times New Roman" w:ascii="Times New Roman" w:hAnsi="Times New Roman"/>
        </w:rPr>
        <w:t xml:space="preserve">This order may be significant to you because it was decided under the new certificate policy statement that precludes subsidy by existing shippers.  Here, the Commission finds that the cost of the new loop would be offset by revenues from the new discounted rate shipper.  Accordingly, the Commission found that there is no subsidy and the cost of the new loop may be rolled-in in the next rate case.  </w:t>
      </w:r>
      <w:r>
        <w:rPr>
          <w:rFonts w:eastAsia="Times New Roman" w:cs="Times New Roman" w:ascii="Times New Roman" w:hAnsi="Times New Roman"/>
          <w:sz w:val="16"/>
          <w:szCs w:val="16"/>
        </w:rPr>
        <w:t>[Attached:  CP99-584.doc]</w:t>
      </w:r>
      <w:r>
        <w:rPr>
          <w:rFonts w:eastAsia="Times New Roman" w:cs="Times New Roman" w:ascii="Times New Roman" w:hAnsi="Times New Roman"/>
        </w:rPr>
        <w:t xml:space="preserve"> </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540"/>
          <w:tab w:val="left" w:pos="0" w:leader="none"/>
        </w:tabs>
        <w:ind w:hanging="360" w:start="720" w:end="0"/>
        <w:rPr/>
      </w:pPr>
      <w:r>
        <w:rPr>
          <w:rFonts w:eastAsia="Times New Roman" w:cs="Times New Roman" w:ascii="Times New Roman" w:hAnsi="Times New Roman"/>
          <w:b/>
          <w:bCs/>
        </w:rPr>
        <w:t xml:space="preserve">Transco Order Affirms FERC's Decision on Negotiated Rate Transactions, RP99-472-001.  </w:t>
      </w:r>
      <w:r>
        <w:rPr>
          <w:rFonts w:eastAsia="Times New Roman" w:cs="Times New Roman" w:ascii="Times New Roman" w:hAnsi="Times New Roman"/>
        </w:rPr>
        <w:t xml:space="preserve">In Transco's compliance filing, revising its authority to enter into negotiated rate transactions, its new tariff language reflects the Commission's September 30 directive.  The directive stated that Transco must revise its tariff language stipulating that </w:t>
      </w:r>
      <w:r>
        <w:rPr>
          <w:rFonts w:eastAsia="Times New Roman" w:cs="Times New Roman" w:ascii="Times New Roman" w:hAnsi="Times New Roman"/>
          <w:u w:val="single"/>
        </w:rPr>
        <w:t>negotiated rates do not apply as the price cap for capacity release transactions</w:t>
      </w:r>
      <w:r>
        <w:rPr>
          <w:rFonts w:eastAsia="Times New Roman" w:cs="Times New Roman" w:ascii="Times New Roman" w:hAnsi="Times New Roman"/>
        </w:rPr>
        <w:t xml:space="preserve">. </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7"/>
        </w:numPr>
        <w:tabs>
          <w:tab w:val="clear" w:pos="540"/>
          <w:tab w:val="left" w:pos="0" w:leader="none"/>
        </w:tabs>
        <w:ind w:hanging="360" w:start="720" w:end="0"/>
        <w:rPr/>
      </w:pPr>
      <w:r>
        <w:rPr>
          <w:rFonts w:eastAsia="Times New Roman" w:cs="Times New Roman" w:ascii="Times New Roman" w:hAnsi="Times New Roman"/>
          <w:b/>
          <w:bCs/>
        </w:rPr>
        <w:t xml:space="preserve">Destin Denied Rehearing in Rate Case, RP99-514.  </w:t>
      </w:r>
      <w:r>
        <w:rPr>
          <w:rFonts w:eastAsia="Times New Roman" w:cs="Times New Roman" w:ascii="Times New Roman" w:hAnsi="Times New Roman"/>
        </w:rPr>
        <w:t>In September, Destin filed a proposal to true up $78.5 million in cost overruns for its facilities and a depreciation rate of 3.3%.  The Commission rejected Destin's rate request in October finding Destin did not meet the criteria for either a limited section 4 filing or a general section 4 filing.  On November 24, Destin requested rehearing.  In this order, the Commission denies rehearing.</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8"/>
        </w:numPr>
        <w:tabs>
          <w:tab w:val="clear" w:pos="540"/>
          <w:tab w:val="left" w:pos="0" w:leader="none"/>
        </w:tabs>
        <w:ind w:hanging="360" w:start="720" w:end="0"/>
        <w:rPr/>
      </w:pPr>
      <w:r>
        <w:rPr>
          <w:rFonts w:eastAsia="Times New Roman" w:cs="Times New Roman" w:ascii="Times New Roman" w:hAnsi="Times New Roman"/>
          <w:b/>
          <w:bCs/>
        </w:rPr>
        <w:t xml:space="preserve">CNG Complaint Referred to Enforcement, CP87-203.  </w:t>
      </w:r>
      <w:r>
        <w:rPr>
          <w:rFonts w:eastAsia="Times New Roman" w:cs="Times New Roman" w:ascii="Times New Roman" w:hAnsi="Times New Roman"/>
        </w:rPr>
        <w:t>On December 8, NE Hub Partners and CNG filed a joint complaint and petition for investigation alleging that CNG Transmission (operator of 2/3 of the Tioga storage complex) drilled five of six wells without Commission authorization at Tioga storage complex in 1998.  This order grants the complaint and refers the complaint and other violations to the Enforcement Section for a preliminary investigation of remedies.</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
        </w:numPr>
        <w:tabs>
          <w:tab w:val="clear" w:pos="540"/>
          <w:tab w:val="left" w:pos="0" w:leader="none"/>
        </w:tabs>
        <w:ind w:hanging="720" w:start="720" w:end="0"/>
        <w:rPr/>
      </w:pPr>
      <w:r>
        <w:rPr>
          <w:rFonts w:eastAsia="Times New Roman" w:cs="Times New Roman" w:ascii="Times New Roman" w:hAnsi="Times New Roman"/>
          <w:b/>
          <w:bCs/>
        </w:rPr>
        <w:t xml:space="preserve">Rehearing Denied in Columbia Gulf Order, CP98-596.  </w:t>
      </w:r>
      <w:r>
        <w:rPr>
          <w:rFonts w:eastAsia="Times New Roman" w:cs="Times New Roman" w:ascii="Times New Roman" w:hAnsi="Times New Roman"/>
        </w:rPr>
        <w:t xml:space="preserve">In an earlier order on February 10, FERC authorized Columbia Gulf to abandon certain old and deteriorating facilities at the Corinth, Inverness and Hampshire compressor units.  Cities of Charlottsville and Richmond, Virginia and Baltimore Gas &amp; Electric requested rehearing stating FERC had not considered Columbia Gulf's open season potentially violated the Consent Agreement (FERC had approved the non-public consent agreement on August 8, 1997).  In this order, the Commission finds that the petitioners have unfounded arguments and denies rehearing.  FERC states Columbia Gulf responded to the need to replace deteriorated facilities and a need for additional capacity, and that any issue surrounding the potential violations of NGA would be addressed on rehearing of the order issued December 24, 1998 in Docket No. CP93-736.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t xml:space="preserve"> </w:t>
      </w:r>
    </w:p>
    <w:p>
      <w:pPr>
        <w:pStyle w:val="Normal"/>
        <w:numPr>
          <w:ilvl w:val="0"/>
          <w:numId w:val="9"/>
        </w:numPr>
        <w:tabs>
          <w:tab w:val="clear" w:pos="540"/>
          <w:tab w:val="left" w:pos="0" w:leader="none"/>
        </w:tabs>
        <w:ind w:hanging="720" w:start="720" w:end="0"/>
        <w:rPr/>
      </w:pPr>
      <w:r>
        <w:rPr>
          <w:rFonts w:eastAsia="Times New Roman" w:cs="Times New Roman" w:ascii="Times New Roman" w:hAnsi="Times New Roman"/>
          <w:b/>
          <w:bCs/>
        </w:rPr>
        <w:t xml:space="preserve">Colorado Interstate Proposal to Abandon Seven Compression Units in Texas Approved, CP00-22.  </w:t>
      </w:r>
      <w:r>
        <w:rPr>
          <w:rFonts w:eastAsia="Times New Roman" w:cs="Times New Roman" w:ascii="Times New Roman" w:hAnsi="Times New Roman"/>
        </w:rPr>
        <w:t>CIG proposes to abandon and remove seven transmission compressor units in Moore County, Texas.  In December 1996, because of declining production in the Panhandle Field, processing was shifted to a more efficient processing plant without utilizing the instant facilities.  OEP grants the abandonment.</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9"/>
        </w:numPr>
        <w:tabs>
          <w:tab w:val="clear" w:pos="540"/>
          <w:tab w:val="left" w:pos="0" w:leader="none"/>
        </w:tabs>
        <w:ind w:hanging="720" w:start="720" w:end="0"/>
        <w:rPr/>
      </w:pPr>
      <w:r>
        <w:rPr>
          <w:rFonts w:eastAsia="Times New Roman" w:cs="Times New Roman" w:ascii="Times New Roman" w:hAnsi="Times New Roman"/>
          <w:b/>
          <w:bCs/>
        </w:rPr>
        <w:t xml:space="preserve">Colorado Interstate's Proposal to Expand Safe Harbor in Swing Service Accepted, RP00-161.  </w:t>
      </w:r>
      <w:r>
        <w:rPr>
          <w:rFonts w:eastAsia="Times New Roman" w:cs="Times New Roman" w:ascii="Times New Roman" w:hAnsi="Times New Roman"/>
        </w:rPr>
        <w:t xml:space="preserve">On February 1, 2000, the Commission accepted CIG's proposal to expand the safe harbor for the commodity rate for its swing service to apply only to daily swing quantities that exceed the greater of 100 Dth or 5% of the daily total scheduled quantities at the pertinent delivery point.  This revision ensures that the swing service commodity rate is not imposed on small gas quantities.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Court of Appeals</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9"/>
        </w:numPr>
        <w:tabs>
          <w:tab w:val="clear" w:pos="540"/>
          <w:tab w:val="left" w:pos="0" w:leader="none"/>
        </w:tabs>
        <w:ind w:hanging="360" w:start="720" w:end="0"/>
        <w:rPr/>
      </w:pPr>
      <w:r>
        <w:rPr>
          <w:rFonts w:eastAsia="Times New Roman" w:cs="Times New Roman" w:ascii="Times New Roman" w:hAnsi="Times New Roman"/>
          <w:b/>
          <w:bCs/>
        </w:rPr>
        <w:t xml:space="preserve">Court Denied Review of PG&amp;E Settlement Resolving a Rate Case, Case No. 98-1245.  </w:t>
      </w:r>
      <w:r>
        <w:rPr>
          <w:rFonts w:eastAsia="Times New Roman" w:cs="Times New Roman" w:ascii="Times New Roman" w:hAnsi="Times New Roman"/>
        </w:rPr>
        <w:t xml:space="preserve">This proceeding was consolidated with three other cases </w:t>
      </w:r>
      <w:r>
        <w:rPr>
          <w:rStyle w:val="FootnoteCharacters"/>
          <w:rStyle w:val="FootnoteReference"/>
          <w:rFonts w:eastAsia="Times New Roman" w:cs="Times New Roman" w:ascii="Times New Roman" w:hAnsi="Times New Roman"/>
        </w:rPr>
        <w:footnoteReference w:id="2"/>
      </w:r>
      <w:r>
        <w:rPr>
          <w:rFonts w:eastAsia="Times New Roman" w:cs="Times New Roman" w:ascii="Times New Roman" w:hAnsi="Times New Roman"/>
        </w:rPr>
        <w:t xml:space="preserve"> and centers on challenges to the Commission's policy in Order No. 636-A defining replacement shippers as being similarly situated to expansion shippers and how to price capacity releases in the context of a system with incremental rates.  The petitioners in these proceedings argue that the Commission departed from policy by conflicting with Order No. 636.  In response, the Commission states that there is no new policy.  In Order No. 636-A, the Commission states that replacement shippers obtaining released capacity post-expansion on an incrementally priced system are similarly situated to expansion shippers, not to releasing shippers.  The prior policy was unfair to expansion shippers and allowed replacement shippers on the incrementally priced pipeline to pay significantly lower rates than expansion shippers even though those replacement shippers had obtained their capacity at a later date.  The petitioners did not challenge the logic behind the Commission's ruling.  Therefore, the Court denied review finding the petitioners arguments had no merit and found that the Commission was correct in denying rehearing.</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sectPr>
      <w:footerReference w:type="default" r:id="rId3"/>
      <w:footerReference w:type="first" r:id="rId4"/>
      <w:footnotePr>
        <w:numFmt w:val="decimal"/>
      </w:footnotePr>
      <w:type w:val="nextPage"/>
      <w:pgSz w:w="12240" w:h="15840"/>
      <w:pgMar w:left="1440" w:right="1440" w:gutter="0" w:header="0" w:top="1080" w:footer="360" w:bottom="99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 w:name="CG Times (W1)">
    <w:altName w:val="Times New Roman"/>
    <w:charset w:val="01"/>
    <w:family w:val="roman"/>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WK7_2_9.doc</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5090"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Wk11-06.doc</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eastAsia="Times New Roman" w:cs="Times New Roman" w:ascii="Times New Roman" w:hAnsi="Times New Roman"/>
          <w:sz w:val="18"/>
          <w:szCs w:val="18"/>
        </w:rPr>
        <w:t>Case Nos. 98-1249; 98-1251 and 98-1274.</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ListBullet">
    <w:name w:val="List Bullet"/>
    <w:basedOn w:val="Normal"/>
    <w:qFormat/>
    <w:pPr>
      <w:numPr>
        <w:ilvl w:val="0"/>
        <w:numId w:val="2"/>
      </w:numPr>
      <w:ind w:hanging="360" w:start="360" w:end="0"/>
    </w:pPr>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2000-02-04T19:45:00Z</dcterms:created>
  <dc:creator>Jan Butler</dc:creator>
  <dc:description/>
  <dc:language>en-CA</dc:language>
  <cp:lastModifiedBy>Janet Butler</cp:lastModifiedBy>
  <cp:lastPrinted>2000-02-04T16:03:00Z</cp:lastPrinted>
  <dcterms:modified xsi:type="dcterms:W3CDTF">2000-02-04T19:50:00Z</dcterms:modified>
  <cp:revision>3</cp:revision>
  <dc:subject/>
  <dc:title>Weekly Regulatory Report template</dc:title>
</cp:coreProperties>
</file>