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January 21, 2000</w:t>
            </w:r>
          </w:p>
        </w:tc>
      </w:tr>
    </w:tbl>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Commission Agenda for January 26 Meeting Attached.  </w:t>
      </w:r>
      <w:r>
        <w:rPr>
          <w:rFonts w:eastAsia="Times New Roman" w:cs="Times New Roman" w:ascii="Times New Roman" w:hAnsi="Times New Roman"/>
        </w:rPr>
        <w:t>Items of interest are noted  below:</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NNG's specific negotiated rate transaction (RP96-272)</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NNG's filing for index based discount rates.  A number of parties protested NNG's filing arguing 1) index rates are negotiated rates, not discounts; 2) disclosure concerns; and 3) concerns about discount adjustment treatment in a future rate case.  NNG filed an answer responding to each of these concerns.</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TW's order after technical conference on new enhanced backhaul service, RP99-481.</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Northwest Pipeline's remand order relating to its rate case, specifically regarding the weighting of the short term/long term growth projections, RP93-5.</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Great Lakes Gas' rehearing order on new limited firm service, RP00-63.</w:t>
      </w:r>
    </w:p>
    <w:p>
      <w:pPr>
        <w:pStyle w:val="Normal"/>
        <w:numPr>
          <w:ilvl w:val="0"/>
          <w:numId w:val="3"/>
        </w:numPr>
        <w:tabs>
          <w:tab w:val="clear" w:pos="540"/>
          <w:tab w:val="left" w:pos="0" w:leader="none"/>
        </w:tabs>
        <w:ind w:hanging="720" w:start="1440" w:end="0"/>
        <w:rPr/>
      </w:pPr>
      <w:r>
        <w:rPr>
          <w:rFonts w:eastAsia="Times New Roman" w:cs="Times New Roman" w:ascii="Times New Roman" w:hAnsi="Times New Roman"/>
          <w:b/>
          <w:bCs/>
          <w:i/>
          <w:iCs/>
        </w:rPr>
        <w:t>Certification of New Interstate Natural Gas Pipeline Facilities, PL99-3</w:t>
      </w:r>
      <w:r>
        <w:rPr>
          <w:rFonts w:eastAsia="Times New Roman" w:cs="Times New Roman" w:ascii="Times New Roman" w:hAnsi="Times New Roman"/>
        </w:rPr>
        <w:t>, rehearing order. In September 1998 FERC issued a new certificate policy statement that announced a preference for incremental pricing for new construction (reversing the existing presumption in favor of rolled-in pricing when the impact of the new capacity is not more than 5% increase to existing rates and results in system benefits).  Several parties, including Enron GPG and Northern Border sought rehearing of the FERC's application of the policy to only certain certificate projects and argued that the new balancing test and procedures should apply to optional certificates as well.</w:t>
      </w:r>
    </w:p>
    <w:p>
      <w:pPr>
        <w:pStyle w:val="Normal"/>
        <w:numPr>
          <w:ilvl w:val="0"/>
          <w:numId w:val="3"/>
        </w:numPr>
        <w:tabs>
          <w:tab w:val="clear" w:pos="540"/>
          <w:tab w:val="left" w:pos="0" w:leader="none"/>
        </w:tabs>
        <w:ind w:hanging="720" w:start="1440" w:end="0"/>
        <w:rPr/>
      </w:pPr>
      <w:r>
        <w:rPr>
          <w:rFonts w:eastAsia="Times New Roman" w:cs="Times New Roman" w:ascii="Times New Roman" w:hAnsi="Times New Roman"/>
          <w:b/>
          <w:bCs/>
          <w:i/>
          <w:iCs/>
        </w:rPr>
        <w:t>Optional Certificate and Abandonment Procedures for Applications for New Service Under Section 7 of the Natural Gas Act, RM00-5.</w:t>
      </w:r>
      <w:r>
        <w:rPr>
          <w:rFonts w:eastAsia="Times New Roman" w:cs="Times New Roman" w:ascii="Times New Roman" w:hAnsi="Times New Roman"/>
        </w:rPr>
        <w:t xml:space="preserve">  New NOPR will be issued.</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GPG-Related Orders and Filings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3"/>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Cashout Report accepted, RP00-142.</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El Paso's Negotiated Rate Transactions Accepted, RP97-287.  </w:t>
      </w:r>
      <w:r>
        <w:rPr>
          <w:rFonts w:eastAsia="Times New Roman" w:cs="Times New Roman" w:ascii="Times New Roman" w:hAnsi="Times New Roman"/>
        </w:rPr>
        <w:t xml:space="preserve">On January 19, the Commission issued an order accepting two negotiated rate transactions; one with Williams Energy Trading and Marketing and the second with Enron North America (ENA).  The ENA filing includes capacity of 1.225 Mcf/d, primary rights at all Topock delivery points, three transportation service agreements with a one-year term and a revenue sharing formula. FERC discusses protestors assertions that this filing is anticompetitive and rejects the protests, making several points:  1) (ENA's) size alone has not been grounds for rejecting a transportation agreement; 2) there are no credible allegations that Transwestern has discriminated in allocation of capacity; 3) the revenue sharing mechanism allows El Paso to retain 100% of any revenue it earns by competing with Enron under this agreement (clearly not the case in Dynegy where FERC found the revenue sharing mechanism was anticompetitive); and 4) the price of secondary capacity may be higher with the ENA agreement which does not signal anticompetitive behavior or become inconsistent with policy.  Although ENA's contract is similar in capacity volumes to the previously rejected filing with Dynegy, what has changed is the inclusion of a more restrictive minimum pay provision and the removal of a clearly anti-competitive non-competition clause.  However, FERC states that it will monitor this transaction closely in light of the protesting comments, including reviewing the capacity ENA and its affiliates control on both El Paso and Transwestern and the capacity release prices on both pipelines.  El Paso will be required to disclose as part of its quarterly filings of its index of shippers the actual delivery points of any contracts for the delivery of gas to the California market.  If its review discloses that ENA has been withholding capacity in manner that is unjust/unduly discriminatory, FERC will consider imposing a remedy such as the mandatory capacity release requested by the California PUC (Enron be required to release capacity it is not actually using as long as the rate paid exceeds the rate it pays El Paso).  Both filings are to be effective January 1, 2000.  </w:t>
      </w:r>
      <w:r>
        <w:rPr>
          <w:rFonts w:eastAsia="Times New Roman" w:cs="Times New Roman" w:ascii="Times New Roman" w:hAnsi="Times New Roman"/>
          <w:sz w:val="16"/>
          <w:szCs w:val="16"/>
        </w:rPr>
        <w:t>[Attached:  RP97-287.doc]</w:t>
      </w:r>
      <w:r>
        <w:rPr>
          <w:rFonts w:eastAsia="Times New Roman" w:cs="Times New Roman" w:ascii="Times New Roman" w:hAnsi="Times New Roman"/>
        </w:rPr>
        <w:t xml:space="preserv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Kern River Files New Imbalance Procedures, RP00-163.  </w:t>
      </w:r>
      <w:r>
        <w:rPr>
          <w:rFonts w:eastAsia="Times New Roman" w:cs="Times New Roman" w:ascii="Times New Roman" w:hAnsi="Times New Roman"/>
        </w:rPr>
        <w:t xml:space="preserve">On January 13, Kern River submitted a filing that adds two new provisions to permit imbalance netting and trading to its tariff allowing shippers to net and/or trade shipper imbalances. The provisions will allow a) shippers to net imbalances between its service agreements for firm and/or interruptible service, but will be required to reimburse Kern River for any differences in revenues due to such netting and b) a shipper to trade an imbalance with another shipper for firm and/or interruptible service, and will be required to reimburse Kern River for any differences in revenues due to the trade.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Texas Eastern Files for Authorization for Vermillion Lateral, CP00-67.  </w:t>
      </w:r>
      <w:r>
        <w:rPr>
          <w:rFonts w:eastAsia="Times New Roman" w:cs="Times New Roman" w:ascii="Times New Roman" w:hAnsi="Times New Roman"/>
        </w:rPr>
        <w:t xml:space="preserve">On January 7 Texas Eastern filed for authorization to construct the Vermillion lateral in Illinois in order to provide interruptible service to Duke Energy Vermillion.  The lateral will consist of approximately 14 miles of pipeline extending from a proposed interconnect with Midwestern Gas.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Quester's Request for Rehearing Denied, RP99-513.  </w:t>
      </w:r>
      <w:r>
        <w:rPr>
          <w:rFonts w:eastAsia="Times New Roman" w:cs="Times New Roman" w:ascii="Times New Roman" w:hAnsi="Times New Roman"/>
        </w:rPr>
        <w:t xml:space="preserve">The Commission authorized Questar to add the new negotiated rate language to its GT&amp;C, but rejected language that proposed during the term of any negotiated rate agreement, the recourse rate will not be available to the negotiated rate shipper at the subject receipt and delivery points for other service unless agreed by Questar.  Questar filed a request for rehearing on this point.  In the order issued January 14, the Commission denied rehearing but clarified that according to policy, the customer may not enter into a negotiated rate agreement and later turn to a more favorable recourse rate during the term of the negotiated rate agreement.  What Questar proposes, relying on the Tennessee order,  could be beyond the limitation on access to recourse rates set forth in </w:t>
      </w:r>
      <w:r>
        <w:rPr>
          <w:rFonts w:eastAsia="Times New Roman" w:cs="Times New Roman" w:ascii="Times New Roman" w:hAnsi="Times New Roman"/>
          <w:i/>
          <w:iCs/>
        </w:rPr>
        <w:t>Tennessee, 76 FERC 61,224 (1996)</w:t>
      </w:r>
      <w:r>
        <w:rPr>
          <w:rFonts w:eastAsia="Times New Roman" w:cs="Times New Roman" w:ascii="Times New Roman" w:hAnsi="Times New Roman"/>
        </w:rPr>
        <w:t xml:space="preserve">.  In the Tennessee order, the only permissible limitation is that during the effective period of the negotiated rate contract, the recourse rate would not be available to that shipper.  The opportunity for the shipper to select either a negotiated rate or the recourse deal passes once the shipper has decided to negotiate with the pipeline.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Questar Files Application for Loop Facilities, CP00-68.  </w:t>
      </w:r>
      <w:r>
        <w:rPr>
          <w:rFonts w:eastAsia="Times New Roman" w:cs="Times New Roman" w:ascii="Times New Roman" w:hAnsi="Times New Roman"/>
        </w:rPr>
        <w:t>On January 10, Questar filed an application to construct pipeline and compression facilities in Utah and will extend approximately 75 miles to an interconnection with Kern River.</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Mississippi River Order Clarifies Discount Language, RP00-22.  </w:t>
      </w:r>
      <w:r>
        <w:rPr>
          <w:rFonts w:eastAsia="Times New Roman" w:cs="Times New Roman" w:ascii="Times New Roman" w:hAnsi="Times New Roman"/>
        </w:rPr>
        <w:t xml:space="preserve">The Commission clarifies its order issued November 10 in which Mississippi River was permitted to add new discount language.  The Missouri Public Service Commission argues one point: MRT should not be allowed to apply the maximum rate in the event the shipper fails to achieve the specified quantity which it committed to flow in return for its discount.  On clarification, the Commission states that MRT is at liberty to enter into discount agreements where the maximum rate </w:t>
      </w:r>
      <w:r>
        <w:rPr>
          <w:rFonts w:eastAsia="Times New Roman" w:cs="Times New Roman" w:ascii="Times New Roman" w:hAnsi="Times New Roman"/>
          <w:u w:val="single"/>
        </w:rPr>
        <w:t xml:space="preserve">will </w:t>
      </w:r>
      <w:r>
        <w:rPr>
          <w:rFonts w:eastAsia="Times New Roman" w:cs="Times New Roman" w:ascii="Times New Roman" w:hAnsi="Times New Roman"/>
        </w:rPr>
        <w:t xml:space="preserve">apply should a shipper </w:t>
      </w:r>
      <w:r>
        <w:rPr>
          <w:rFonts w:eastAsia="Times New Roman" w:cs="Times New Roman" w:ascii="Times New Roman" w:hAnsi="Times New Roman"/>
          <w:u w:val="single"/>
        </w:rPr>
        <w:t>never</w:t>
      </w:r>
      <w:r>
        <w:rPr>
          <w:rFonts w:eastAsia="Times New Roman" w:cs="Times New Roman" w:ascii="Times New Roman" w:hAnsi="Times New Roman"/>
        </w:rPr>
        <w:t xml:space="preserve"> achieve the specified quantities it committed to flow.  Pipelines </w:t>
      </w:r>
      <w:r>
        <w:rPr>
          <w:rFonts w:eastAsia="Times New Roman" w:cs="Times New Roman" w:ascii="Times New Roman" w:hAnsi="Times New Roman"/>
          <w:u w:val="single"/>
        </w:rPr>
        <w:t>cannot</w:t>
      </w:r>
      <w:r>
        <w:rPr>
          <w:rFonts w:eastAsia="Times New Roman" w:cs="Times New Roman" w:ascii="Times New Roman" w:hAnsi="Times New Roman"/>
        </w:rPr>
        <w:t xml:space="preserve"> enter into discount agreements where a shipper received a discount for a specified volume, then would lose the discount on the entire volume if it exceeded the specified volume. The MRT proposed language is consistent with Commission policy.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Panhandle Eastern Files Hourly Firm Service, RP00-162.  </w:t>
      </w:r>
      <w:r>
        <w:rPr>
          <w:rFonts w:eastAsia="Times New Roman" w:cs="Times New Roman" w:ascii="Times New Roman" w:hAnsi="Times New Roman"/>
        </w:rPr>
        <w:t xml:space="preserve">As with Texas Gas, Reliant Energy and ANR, Panhandle is the latest pipeline to file for hourly firm service.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Court of Appeals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Anadarko Petroleum v. FERC and Amoco on Kansas ad valorem tax refund issue, Case No. 98-1227.  </w:t>
      </w:r>
      <w:r>
        <w:rPr>
          <w:rFonts w:eastAsia="Times New Roman" w:cs="Times New Roman" w:ascii="Times New Roman" w:hAnsi="Times New Roman"/>
        </w:rPr>
        <w:t xml:space="preserve">The Commission requested rehearing/clarification on the court's decision of October 29, 1999 on the issue of the effective date for refunds.  The court may have made two incorrect factual assumptions.  First, contrary to the court's understanding, the tax assessment sent to producers from the state of Kansas between October and November of a given year was for the same calendar year, not the previous year and secondly, the producers most commonly sought reimbursement of the Kansas ad valorem tax from their customers in lump sum transactions and not by "raising their prices in individual transactions."  The Commission was uncertain how to give effect to the court's holding that "it is the overcharges made in those individual transactions that the producers must now repay."  The court responds that the principle in their decision remains unchanged.  The Kansas tax should not have been subject to reimbursement for sales exceeding the maximum lawful price.  If the producers collected tax reimbursements from their customers after October 4, 1983, whether by lump sum or by any other means, they did so unlawfully and must refund the amounts collected with interest.  The court adds "we leave to the Commission the unenviable task of applying this principle to the facts of ancient transactions."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Midcoast Interstate v. FERC and Huntsville Utilities Gas and City of Huntsville on granting Southern Natural Gas' application to construct a pipeline, denying Midcoast's alternative proposals, Case No. 98-1603.  </w:t>
      </w:r>
      <w:r>
        <w:rPr>
          <w:rFonts w:eastAsia="Times New Roman" w:cs="Times New Roman" w:ascii="Times New Roman" w:hAnsi="Times New Roman"/>
        </w:rPr>
        <w:t xml:space="preserve">The issues before the court are whether FERC arbitrarily approved Southern's pipeline proposal over the environmentally superior Alabama-Tennessee Alternative and whether FERC is properly employing the rolled-in rate pricing policy.  In July 1996, the Commission approved Southern's application for construction of a pipeline and permitted rolled in rates.  During the course of the environmental review, alternative system and routes were considered ("Alabama-Tennessee Alternative").  Despite Alabama-Tennessee Alternative's superiority, Southern's proposal was approved.  Midcoast filed for rehearing, which denied by FERC and petitioned the court challenging FERC's certificate policy and rolled in rates policy.  The court finds no fault with the Commission's rejection of Midcoast's claims for the Alabama Tennessee Alternative finding that Midcoast failed to hold an open season, to solicit permanent capacity release offers, to allocate some existing capacity in a non-discriminatory manner through a bidding process and to demonstrate market support for its proposal.  It was not improper for FERC to consider the desireability of competition when it decided to grant Southern's application.  An interesting point in this decision is the court's favorable finding in FERC's rolled-in rate pricing policy.  Upon analysis of Midcoast's claims for loss of business based on FERC's decision to grant rolled-in rates to Southern, the court finds that although Midcoast's claims were valid, statute has permitted FERC great latitude in consideration of applications.  The Commission identifies four operational benefits that the Southern project provides to existing customers:  enhancement of system reliability, increase in the availability of interruptible transportation service, the availability of new opportunities for marketers and shippers and the provision of firm service for increased shipments to two Southern system shippers.  These benefits are comparable to the examples cited in the Pricing Policy.  </w:t>
      </w:r>
      <w:r>
        <w:rPr>
          <w:rFonts w:eastAsia="Times New Roman" w:cs="Times New Roman" w:ascii="Times New Roman" w:hAnsi="Times New Roman"/>
          <w:sz w:val="16"/>
          <w:szCs w:val="16"/>
        </w:rPr>
        <w:t>[Attached:  98-1603.doc]</w:t>
      </w:r>
      <w:r>
        <w:rPr>
          <w:rFonts w:eastAsia="Times New Roman" w:cs="Times New Roman" w:ascii="Times New Roman" w:hAnsi="Times New Roman"/>
        </w:rPr>
        <w:t xml:space="preserve">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INGAA/ Industry Matters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360" w:start="720" w:end="0"/>
        <w:rPr/>
      </w:pPr>
      <w:r>
        <w:rPr>
          <w:rFonts w:eastAsia="Times New Roman" w:cs="Times New Roman" w:ascii="Times New Roman" w:hAnsi="Times New Roman"/>
          <w:b/>
          <w:bCs/>
        </w:rPr>
        <w:t xml:space="preserve">INGAA Meeting with Dan Adamson.  </w:t>
      </w:r>
      <w:r>
        <w:rPr>
          <w:rFonts w:eastAsia="Times New Roman" w:cs="Times New Roman" w:ascii="Times New Roman" w:hAnsi="Times New Roman"/>
        </w:rPr>
        <w:t xml:space="preserve">Donna Fulton attended the meeting yesterday, reporting that it was brief.  No presentations were given by the pipelines.  Mr. Adamson gave an overview of plans for his new Office of Energy Projects.   He will have two deputies: Carol Sampson, currently the head of Hydro and the other position is posted, but will be an internal gas candidate (possibly Bill Lansinger or Rob Cupina).  There are four divisions.  Certificates is headed by Randy Mathura with two group leaders to be named.  The Environmental Division is headed by Mark Robinson (previously from Hydro) and there will be two gas groups (like Hoffman and Arvelund) and one experimental group working on both gas and hydro.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360" w:end="0"/>
        <w:rPr>
          <w:rFonts w:ascii="Times New Roman" w:hAnsi="Times New Roman" w:eastAsia="Times New Roman" w:cs="Times New Roman"/>
        </w:rPr>
      </w:pPr>
      <w:r>
        <w:rPr>
          <w:rFonts w:eastAsia="Times New Roman" w:cs="Times New Roman" w:ascii="Times New Roman" w:hAnsi="Times New Roman"/>
        </w:rPr>
        <w:t>Adamson indicates that policy will be uniform.  All hydro and gas environmental people are in one division so staff can be shifted as the caseload shifts.  He expects more hydro staff to move into gas cases, since these gas applications are a priority with the Commission.  There will no deputies at the Division level by edict from Chair Hoecker (may be more difficult to get answers on certificate cases).  Certificate cases will be handled by a team with the case being managed by a team leader out of Mathura's division.  Teams will consist of certificates, environmental and OMTR staff.  OMTR will work on rates, tariff and market issues, but the final market decisions will be make under Adamson's group.</w:t>
      </w:r>
    </w:p>
    <w:p>
      <w:pPr>
        <w:pStyle w:val="Normal"/>
        <w:tabs>
          <w:tab w:val="clear" w:pos="540"/>
        </w:tabs>
        <w:ind w:start="360" w:end="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360" w:end="0"/>
        <w:rPr>
          <w:rFonts w:ascii="Times New Roman" w:hAnsi="Times New Roman" w:eastAsia="Times New Roman" w:cs="Times New Roman"/>
        </w:rPr>
      </w:pPr>
      <w:r>
        <w:rPr>
          <w:rFonts w:eastAsia="Times New Roman" w:cs="Times New Roman" w:ascii="Times New Roman" w:hAnsi="Times New Roman"/>
        </w:rPr>
        <w:t xml:space="preserve">The formal date for change to OEP from OPR is March 13.  For any prefiling meetings before March 13, Adamson expects to be included, though Madden and Larcamp should be included as well.  </w:t>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WK1-21.doc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651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5</w:t>
                          </w:r>
                          <w:r>
                            <w:rPr>
                              <w:rStyle w:val="PageNumber"/>
                              <w:sz w:val="16"/>
                              <w:szCs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5</w:t>
                    </w:r>
                    <w:r>
                      <w:rPr>
                        <w:rStyle w:val="PageNumber"/>
                        <w:sz w:val="16"/>
                        <w:szCs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Wk1-21.doc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2000-01-20T18:37:00Z</dcterms:created>
  <dc:creator>Jan Butler</dc:creator>
  <dc:description/>
  <dc:language>en-CA</dc:language>
  <cp:lastModifiedBy>Janet Butler</cp:lastModifiedBy>
  <cp:lastPrinted>2000-01-21T16:10:00Z</cp:lastPrinted>
  <dcterms:modified xsi:type="dcterms:W3CDTF">2000-01-21T19:40:00Z</dcterms:modified>
  <cp:revision>12</cp:revision>
  <dc:subject/>
  <dc:title>Weekly Regulatory Report template</dc:title>
</cp:coreProperties>
</file>