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p>
            <w:pPr>
              <w:pStyle w:val="To"/>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January 7,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Commission Agenda for January 12 Meeting Attached.  </w:t>
      </w:r>
      <w:r>
        <w:rPr>
          <w:rFonts w:eastAsia="Times New Roman" w:cs="Times New Roman" w:ascii="Times New Roman" w:hAnsi="Times New Roman"/>
        </w:rPr>
        <w:t>Items of interest are noted below:</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Certificate Policy rehearing, PL99-3</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RM98-10 Regulation of Short Term Natural Gas Transportation and RM98-12 Regulation of Interstate Natural Gas Transportation.  The rule (and possible new rulemaking) will address issues such as lifting price caps for capacity release, seasonal rates, term-differentiated rates, discounting, operational provisions and reporting requirements.</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Transwestern's Gallup Expansion certificate, CP99-522</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Rehearing of Transwestern's new limited firm service, RP99-456</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Texas Gas' new summer no notice service, RP00-83</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ANR's rehearing of new hourly firm service, RP00-30</w:t>
      </w:r>
    </w:p>
    <w:p>
      <w:pPr>
        <w:pStyle w:val="Normal"/>
        <w:numPr>
          <w:ilvl w:val="0"/>
          <w:numId w:val="3"/>
        </w:numPr>
        <w:tabs>
          <w:tab w:val="clear" w:pos="540"/>
          <w:tab w:val="left" w:pos="0" w:leader="none"/>
          <w:tab w:val="left" w:pos="360" w:leader="none"/>
        </w:tabs>
        <w:ind w:hanging="360" w:start="1080" w:end="0"/>
        <w:rPr>
          <w:rFonts w:ascii="Times New Roman" w:hAnsi="Times New Roman" w:eastAsia="Times New Roman" w:cs="Times New Roman"/>
        </w:rPr>
      </w:pPr>
      <w:r>
        <w:rPr>
          <w:rFonts w:eastAsia="Times New Roman" w:cs="Times New Roman" w:ascii="Times New Roman" w:hAnsi="Times New Roman"/>
        </w:rPr>
        <w:t>Trunkline (RP00-138) and Panhandle's (RP00-137) changes to pro forma tariff to allow rates between max. and min. to be considered discount adjustments</w:t>
      </w:r>
    </w:p>
    <w:p>
      <w:pPr>
        <w:pStyle w:val="Normal"/>
        <w:tabs>
          <w:tab w:val="clear" w:pos="540"/>
        </w:tabs>
        <w:ind w:start="72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Commissioner Bailey Leaving FERC.  </w:t>
      </w:r>
      <w:r>
        <w:rPr>
          <w:rFonts w:eastAsia="Times New Roman" w:cs="Times New Roman" w:ascii="Times New Roman" w:hAnsi="Times New Roman"/>
        </w:rPr>
        <w:t>Cinergy has announced that effective February 1, 2000, Vicky Bailey will be leaving the Commission to accept the presidency of PSI Energy, Inc. in Indiana.  Her current term runs through 2001.  FERC has not yet formally announced her resignation.</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FERC Rulemaking</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Records Retention NOPR Summary Prepared RM99-8. </w:t>
      </w:r>
      <w:r>
        <w:rPr>
          <w:rFonts w:eastAsia="Times New Roman" w:cs="Times New Roman" w:ascii="Times New Roman" w:hAnsi="Times New Roman"/>
        </w:rPr>
        <w:t>An executive summary and section-by-section review of the NOPR has been distributed to appropriate staff to comment. While the NOPR is purportedly aimed at streamlining the regulations, certain minor wording changes may be significant.  For example, the contract retention provisions has been re-written to include add "related memoranda."  Comments are due within 60 days of publication in Federal Register (which has not yet occurred).</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720" w:end="0"/>
        <w:jc w:val="center"/>
        <w:rPr>
          <w:rFonts w:ascii="Times New Roman" w:hAnsi="Times New Roman" w:eastAsia="Times New Roman" w:cs="Times New Roman"/>
          <w:b/>
          <w:bCs/>
        </w:rPr>
      </w:pPr>
      <w:r>
        <w:rPr>
          <w:rFonts w:eastAsia="Times New Roman" w:cs="Times New Roman" w:ascii="Times New Roman" w:hAnsi="Times New Roman"/>
          <w:b/>
          <w:bCs/>
        </w:rPr>
        <w:t>GPG-Related FERC Orders and Filings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Northern Natural</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Noticed Northern's filing to implement a negotiated rate transaction, RP96-272.</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 xml:space="preserve">Order accepts cancellation of T-8 rate schedule, CP00-20.  </w:t>
      </w:r>
    </w:p>
    <w:p>
      <w:pPr>
        <w:pStyle w:val="Normal"/>
        <w:numPr>
          <w:ilvl w:val="0"/>
          <w:numId w:val="4"/>
        </w:numPr>
        <w:tabs>
          <w:tab w:val="clear" w:pos="540"/>
          <w:tab w:val="left" w:pos="0" w:leader="none"/>
          <w:tab w:val="left" w:pos="360" w:leader="none"/>
        </w:tabs>
        <w:ind w:hanging="360" w:start="1080" w:end="0"/>
        <w:rPr>
          <w:rFonts w:ascii="Times New Roman" w:hAnsi="Times New Roman" w:eastAsia="Times New Roman" w:cs="Times New Roman"/>
        </w:rPr>
      </w:pPr>
      <w:r>
        <w:rPr>
          <w:rFonts w:eastAsia="Times New Roman" w:cs="Times New Roman" w:ascii="Times New Roman" w:hAnsi="Times New Roman"/>
        </w:rPr>
        <w:t>Noticed filing to modify GT&amp;C to add an index price-based discounted rate to its tariff</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Transwestern</w:t>
      </w:r>
    </w:p>
    <w:p>
      <w:pPr>
        <w:pStyle w:val="Normal"/>
        <w:numPr>
          <w:ilvl w:val="0"/>
          <w:numId w:val="5"/>
        </w:numPr>
        <w:tabs>
          <w:tab w:val="clear" w:pos="540"/>
          <w:tab w:val="left" w:pos="0" w:leader="none"/>
          <w:tab w:val="left" w:pos="360" w:leader="none"/>
        </w:tabs>
        <w:ind w:hanging="360" w:start="1080" w:end="0"/>
        <w:rPr>
          <w:rFonts w:ascii="Times New Roman" w:hAnsi="Times New Roman" w:eastAsia="Times New Roman" w:cs="Times New Roman"/>
        </w:rPr>
      </w:pPr>
      <w:r>
        <w:rPr>
          <w:rFonts w:eastAsia="Times New Roman" w:cs="Times New Roman" w:ascii="Times New Roman" w:hAnsi="Times New Roman"/>
        </w:rPr>
        <w:t>Order accepts the change of office location in Midland and a change in persons responsible for addressing complaints. MT00-1 (This filing was a companion filing to the updated standards of conduct which the Commission says they will address in a separate order.)</w:t>
      </w:r>
    </w:p>
    <w:p>
      <w:pPr>
        <w:pStyle w:val="Normal"/>
        <w:tabs>
          <w:tab w:val="clear" w:pos="540"/>
        </w:tabs>
        <w:ind w:start="72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540"/>
          <w:tab w:val="left" w:pos="0" w:leader="none"/>
        </w:tabs>
        <w:ind w:hanging="720" w:start="720" w:end="0"/>
        <w:jc w:val="both"/>
        <w:rPr>
          <w:rFonts w:ascii="Times New Roman" w:hAnsi="Times New Roman" w:eastAsia="Times New Roman" w:cs="Times New Roman"/>
          <w:b/>
          <w:bCs/>
        </w:rPr>
      </w:pPr>
      <w:r>
        <w:rPr>
          <w:rFonts w:eastAsia="Times New Roman" w:cs="Times New Roman" w:ascii="Times New Roman" w:hAnsi="Times New Roman"/>
          <w:b/>
          <w:bCs/>
        </w:rPr>
        <w:t>Florida Gas</w:t>
      </w:r>
    </w:p>
    <w:p>
      <w:pPr>
        <w:pStyle w:val="Normal"/>
        <w:numPr>
          <w:ilvl w:val="0"/>
          <w:numId w:val="6"/>
        </w:numPr>
        <w:tabs>
          <w:tab w:val="clear" w:pos="540"/>
          <w:tab w:val="left" w:pos="0" w:leader="none"/>
          <w:tab w:val="left" w:pos="360" w:leader="none"/>
        </w:tabs>
        <w:ind w:hanging="360" w:start="1080" w:end="0"/>
        <w:jc w:val="both"/>
        <w:rPr>
          <w:rFonts w:ascii="Times New Roman" w:hAnsi="Times New Roman" w:eastAsia="Times New Roman" w:cs="Times New Roman"/>
        </w:rPr>
      </w:pPr>
      <w:r>
        <w:rPr>
          <w:rFonts w:eastAsia="Times New Roman" w:cs="Times New Roman" w:ascii="Times New Roman" w:hAnsi="Times New Roman"/>
        </w:rPr>
        <w:t>Order accepting compliance and granting waiver to allow non-compliance penalties to take effect on December 15, 1999.  RP00-28-001.</w:t>
      </w:r>
    </w:p>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FERC Decisions and Filings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7"/>
        </w:numPr>
        <w:tabs>
          <w:tab w:val="clear" w:pos="540"/>
          <w:tab w:val="left" w:pos="0" w:leader="none"/>
        </w:tabs>
        <w:ind w:hanging="720" w:start="720" w:end="0"/>
        <w:rPr/>
      </w:pPr>
      <w:r>
        <w:rPr>
          <w:rFonts w:eastAsia="Times New Roman" w:cs="Times New Roman" w:ascii="Times New Roman" w:hAnsi="Times New Roman"/>
          <w:b/>
          <w:bCs/>
        </w:rPr>
        <w:t xml:space="preserve">Natural's Compliance Filing Rejected, RP00-18.  </w:t>
      </w:r>
      <w:r>
        <w:rPr>
          <w:rFonts w:eastAsia="Times New Roman" w:cs="Times New Roman" w:ascii="Times New Roman" w:hAnsi="Times New Roman"/>
        </w:rPr>
        <w:t>On October 7, 1999, Indicated Shippers brought proceedings against Natural claiming Natural's auction procedures created an undue preference for negotiated rates.  As a result of the Commission's order dated November 4,  Natural was directed to file tariff sheets permitting discounted recourse rate bids for auction as pre-arranged negotiated rate agreements. Natural Gas submitted a compliance filing on November 12.  In this order, the Commission finds the tariff sheet is inconsistent with the order and is rejected. Natural proposed different reserve prices for different rate forms and is directed to remove this language.</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540"/>
          <w:tab w:val="left" w:pos="0" w:leader="none"/>
        </w:tabs>
        <w:ind w:hanging="720" w:start="720" w:end="0"/>
        <w:rPr/>
      </w:pPr>
      <w:r>
        <w:rPr>
          <w:rFonts w:eastAsia="Times New Roman" w:cs="Times New Roman" w:ascii="Times New Roman" w:hAnsi="Times New Roman"/>
          <w:b/>
          <w:bCs/>
        </w:rPr>
        <w:t>Natural's New Interruptible Balancing Service Rejected, RP00-77.</w:t>
      </w:r>
      <w:r>
        <w:rPr>
          <w:rFonts w:eastAsia="Times New Roman" w:cs="Times New Roman" w:ascii="Times New Roman" w:hAnsi="Times New Roman"/>
        </w:rPr>
        <w:t xml:space="preserve"> Natural filed to  implement an interruptible balancing (IBS) for end-use facilities.  The service was to address the daily swings and balancing needs of electric generation and other industrial facilities. Protestors argued that Natural had not distinguished this service from Natural's parking and lending service, and that implementation of this service would degrade firm services. The Commission finds that Natural failed to provide required information to initiate a new rate schedule and failed to provide certain information required by section 154.204 of the regulations.  Commissioners Bailey and Hebert dissented.</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7"/>
        </w:numPr>
        <w:tabs>
          <w:tab w:val="clear" w:pos="540"/>
          <w:tab w:val="left" w:pos="0" w:leader="none"/>
        </w:tabs>
        <w:ind w:hanging="720" w:start="720" w:end="0"/>
        <w:rPr/>
      </w:pPr>
      <w:r>
        <w:rPr>
          <w:rFonts w:eastAsia="Times New Roman" w:cs="Times New Roman" w:ascii="Times New Roman" w:hAnsi="Times New Roman"/>
          <w:b/>
          <w:bCs/>
        </w:rPr>
        <w:t xml:space="preserve">Atmos Energy Files for Limited Jurisdiction Blanket Certificate, CP00-56.  </w:t>
      </w:r>
      <w:r>
        <w:rPr>
          <w:rFonts w:eastAsia="Times New Roman" w:cs="Times New Roman" w:ascii="Times New Roman" w:hAnsi="Times New Roman"/>
        </w:rPr>
        <w:t>On December 22, Atmos Energy filed an application for a limited jurisdiction certificate to permit sales and/or transportation through facilities in Missouri and approval of the rates for services. Atmos will purchase the Missouri intrastate facilities of Associated Natural Gas.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540"/>
          <w:tab w:val="left" w:pos="0" w:leader="none"/>
        </w:tabs>
        <w:ind w:hanging="720" w:start="720" w:end="0"/>
        <w:rPr/>
      </w:pPr>
      <w:r>
        <w:rPr>
          <w:rFonts w:eastAsia="Times New Roman" w:cs="Times New Roman" w:ascii="Times New Roman" w:hAnsi="Times New Roman"/>
          <w:b/>
          <w:bCs/>
        </w:rPr>
        <w:t xml:space="preserve">CNG Files a Discounted Rate Letter Agreement, GT00-13.  </w:t>
      </w:r>
      <w:r>
        <w:rPr>
          <w:rFonts w:eastAsia="Times New Roman" w:cs="Times New Roman" w:ascii="Times New Roman" w:hAnsi="Times New Roman"/>
        </w:rPr>
        <w:t>On December 22, CNG filed an individualized discounted rate letter agreement (DRLA) with Sithe Power Marketing.  CNG is filing the DRLA as a non-conforming agreement because the discounts granted in the DRLA are conditioned upon Sithe transporting full requirements for its generating plant from December 1, 1999 through November 30, 2000.  The Commission has not granted blanket approval to CNG to offer discounts conditioned upon a shipper transporting its full requirements.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540"/>
          <w:tab w:val="left" w:pos="0" w:leader="none"/>
        </w:tabs>
        <w:ind w:hanging="720" w:start="720" w:end="0"/>
        <w:rPr/>
      </w:pPr>
      <w:r>
        <w:rPr>
          <w:rFonts w:eastAsia="Times New Roman" w:cs="Times New Roman" w:ascii="Times New Roman" w:hAnsi="Times New Roman"/>
          <w:b/>
          <w:bCs/>
        </w:rPr>
        <w:t xml:space="preserve">CNG Eliminates References to "Rates" for Title Tracking Service, RP00-82.  </w:t>
      </w:r>
      <w:r>
        <w:rPr>
          <w:rFonts w:eastAsia="Times New Roman" w:cs="Times New Roman" w:ascii="Times New Roman" w:hAnsi="Times New Roman"/>
        </w:rPr>
        <w:t xml:space="preserve">On December 22, CNG submitted its proposal to remove all references in its tariff to the proposed rate for Title Transfer Tracking Service.  On December 16, the Commission rejected CNG's proposal to charge for this title tracking service.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540"/>
          <w:tab w:val="left" w:pos="0" w:leader="none"/>
        </w:tabs>
        <w:ind w:hanging="720" w:start="720" w:end="0"/>
        <w:rPr/>
      </w:pPr>
      <w:r>
        <w:rPr>
          <w:rFonts w:eastAsia="Times New Roman" w:cs="Times New Roman" w:ascii="Times New Roman" w:hAnsi="Times New Roman"/>
          <w:b/>
          <w:bCs/>
        </w:rPr>
        <w:t>Northwest Uncontested Settlement Certified, RP93-5.</w:t>
      </w:r>
      <w:r>
        <w:rPr>
          <w:rFonts w:eastAsia="Times New Roman" w:cs="Times New Roman" w:ascii="Times New Roman" w:hAnsi="Times New Roman"/>
        </w:rPr>
        <w:t xml:space="preserve">  The ALJ has certified an uncontested settlement to the Commission for Northwest Pipeline. This proceeding relates to rates in the locked-in period from April 1, 1993 through October 31, 1994.  This was a seminal rate of return case in which the Commission affirmed the use of DCF with a 1/3 long-term GDP, 2/3 short-term growth weighting. The proposed settlement resolves the single issue the proper GDP data to be used in the discounted cash flow analysis. Parties have agreed to using 6.08 percent for long-term growth estimates.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540"/>
          <w:tab w:val="left" w:pos="0" w:leader="none"/>
        </w:tabs>
        <w:ind w:hanging="360" w:start="720" w:end="0"/>
        <w:rPr/>
      </w:pPr>
      <w:r>
        <w:rPr>
          <w:rFonts w:eastAsia="Times New Roman" w:cs="Times New Roman" w:ascii="Times New Roman" w:hAnsi="Times New Roman"/>
          <w:b/>
          <w:bCs/>
        </w:rPr>
        <w:t xml:space="preserve">Petal Gas Storage Seeks Certification for Storage Facilities, CP00-59.  </w:t>
      </w:r>
      <w:r>
        <w:rPr>
          <w:rFonts w:eastAsia="Times New Roman" w:cs="Times New Roman" w:ascii="Times New Roman" w:hAnsi="Times New Roman"/>
        </w:rPr>
        <w:t>Petal Gas filed an application on December 28 for a certificate to construct pipeline facilities necessary to interconnect with Southern Natural Gas in Mississippi.  The facilities will include 58.7 miles of pipeline, 5.5 miles of loop, new compressor station, and three new metering facilities at proposed interconnections with Transco, Southern and Destin.</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540"/>
          <w:tab w:val="left" w:pos="0" w:leader="none"/>
          <w:tab w:val="left" w:pos="180" w:leader="none"/>
        </w:tabs>
        <w:spacing w:lineRule="atLeast" w:line="240"/>
        <w:ind w:hanging="360" w:start="720" w:end="0"/>
        <w:rPr>
          <w:rFonts w:ascii="Times New Roman" w:hAnsi="Times New Roman" w:eastAsia="Times New Roman" w:cs="Times New Roman"/>
        </w:rPr>
      </w:pPr>
      <w:r>
        <w:rPr>
          <w:rFonts w:eastAsia="Times New Roman" w:cs="Times New Roman" w:ascii="Times New Roman" w:hAnsi="Times New Roman"/>
          <w:b/>
          <w:bCs/>
          <w:color w:val="000000"/>
        </w:rPr>
        <w:t>Transco Technical Conference (Segmentation), RP00-17</w:t>
      </w:r>
      <w:r>
        <w:rPr>
          <w:rFonts w:eastAsia="Times New Roman" w:cs="Times New Roman" w:ascii="Times New Roman" w:hAnsi="Times New Roman"/>
          <w:color w:val="000000"/>
        </w:rPr>
        <w:t xml:space="preserve">.  Transco had filed a tariff revision related to segmentation, purportedly in conformance with the Commission's policy set forth in </w:t>
      </w:r>
      <w:r>
        <w:rPr>
          <w:rFonts w:eastAsia="Times New Roman" w:cs="Times New Roman" w:ascii="Times New Roman" w:hAnsi="Times New Roman"/>
          <w:i/>
          <w:iCs/>
          <w:color w:val="000000"/>
        </w:rPr>
        <w:t xml:space="preserve">Tennessee.  </w:t>
      </w:r>
      <w:r>
        <w:rPr>
          <w:rFonts w:eastAsia="Times New Roman" w:cs="Times New Roman" w:ascii="Times New Roman" w:hAnsi="Times New Roman"/>
          <w:color w:val="000000"/>
        </w:rPr>
        <w:t>The Commission established a technical conference – a conference that Donna Fulton attended earlier this week.  Donna reported that several customers raised concerns about the way the new tariff operates with VAD (Volume Average Delivery) – a hypothetical point used for administrative ease in nominations, scheduling and billing its customers with multiple delivery points within a zone. Initial comments are due January 27 and replies are due February 10.</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 xml:space="preserve">Other Industry Matters </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9"/>
        </w:numPr>
        <w:tabs>
          <w:tab w:val="clear" w:pos="540"/>
          <w:tab w:val="left" w:pos="0" w:leader="none"/>
        </w:tabs>
        <w:ind w:hanging="360" w:start="720" w:end="0"/>
        <w:rPr/>
      </w:pPr>
      <w:r>
        <w:rPr>
          <w:rFonts w:eastAsia="Times New Roman" w:cs="Times New Roman" w:ascii="Times New Roman" w:hAnsi="Times New Roman"/>
          <w:b/>
          <w:bCs/>
        </w:rPr>
        <w:t xml:space="preserve">GISB-Facilitated Meeting at DOE.  </w:t>
      </w:r>
      <w:r>
        <w:rPr>
          <w:rFonts w:eastAsia="Times New Roman" w:cs="Times New Roman" w:ascii="Times New Roman" w:hAnsi="Times New Roman"/>
        </w:rPr>
        <w:t xml:space="preserve">On January 26, GISB will facilitate a meeting to determine if there is industry support for an organization whose role would be to develop wholesale and retail energy standards.  The Coalition for Uniform Business Standards (CUBR) will make a presentation.  Dave Pfieffer of Andersen Consulting will facilitate the meeting.  A number of state commissioners and/or staff are expected, as are representatives from EEI and NERC.  Jeff Brown of Enron Government Affairs and Theresa Hess will attend the session.  Discussions from the meeting are intended as feedback for the GISB Board of Directors for their March 2 meeting.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540"/>
          <w:tab w:val="left" w:pos="0" w:leader="none"/>
        </w:tabs>
        <w:ind w:hanging="360" w:start="720" w:end="0"/>
        <w:rPr/>
      </w:pPr>
      <w:r>
        <w:rPr>
          <w:rFonts w:eastAsia="Times New Roman" w:cs="Times New Roman" w:ascii="Times New Roman" w:hAnsi="Times New Roman"/>
          <w:b/>
          <w:bCs/>
        </w:rPr>
        <w:t>INGAA to Host Meeting with Dan Adamson, Director of FERC Office of Energy Projects</w:t>
      </w:r>
      <w:r>
        <w:rPr>
          <w:rFonts w:eastAsia="Times New Roman" w:cs="Times New Roman" w:ascii="Times New Roman" w:hAnsi="Times New Roman"/>
        </w:rPr>
        <w:t xml:space="preserve">.  On January 20, INGAA will host a get-together with Dan Adamson and Berne Moseley.  Mr. Adamson will announce the structure and key personnel of the Office of Energy Projects.  INGAA has limited attendance to two representatives per member. Rob Kilmer and Mary Kay Miller are tentatively scheduled to attend.  In advance of the meeting, INGAA has asked for information on pending and completed prior notice and Section 7 projects.  In addition, INGAA has asked for handout materials on each member.  I will schedule a conference call next week to coordinate our response.  </w:t>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Times New Roman">
    <w:charset w:val="01"/>
    <w:family w:val="roman"/>
    <w:pitch w:val="variable"/>
  </w:font>
  <w:font w:name="CG Times (W1)">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WK1-08.doc</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Wk1-7.doc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BodyText2">
    <w:name w:val="Body Text 2"/>
    <w:basedOn w:val="Normal"/>
    <w:qFormat/>
    <w:pPr>
      <w:ind w:hanging="0" w:start="360" w:end="0"/>
    </w:pPr>
    <w:rPr>
      <w:sz w:val="22"/>
      <w:szCs w:val="22"/>
    </w:rPr>
  </w:style>
  <w:style w:type="paragraph" w:styleId="WW-BodyText2">
    <w:name w:val="WW-Body Text 2"/>
    <w:basedOn w:val="Normal"/>
    <w:qFormat/>
    <w:pPr>
      <w:tabs>
        <w:tab w:val="clear" w:pos="540"/>
      </w:tabs>
      <w:ind w:firstLine="360" w:start="0" w:end="0"/>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2000-01-06T16:29:00Z</dcterms:created>
  <dc:creator>Jan Butler</dc:creator>
  <dc:description/>
  <dc:language>en-CA</dc:language>
  <cp:lastModifiedBy>scorman</cp:lastModifiedBy>
  <cp:lastPrinted>2000-01-07T12:03:00Z</cp:lastPrinted>
  <dcterms:modified xsi:type="dcterms:W3CDTF">2000-01-07T21:31:00Z</dcterms:modified>
  <cp:revision>12</cp:revision>
  <dc:subject/>
  <dc:title>Weekly Regulatory Report template</dc:title>
</cp:coreProperties>
</file>