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240" w:hRule="atLeas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4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6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Government Affairs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November 10,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Comments/Protests on Interventions Can Be Electronically Filed Through FERC's New E-Filing Link.  </w:t>
      </w:r>
      <w:r>
        <w:rPr>
          <w:rFonts w:eastAsia="Times New Roman" w:cs="Times New Roman" w:ascii="Times New Roman" w:hAnsi="Times New Roman"/>
        </w:rPr>
        <w:t xml:space="preserve">FERC has established a new link on its web site for e-mailing filing that appears very simple.  Filings are accepted in several formats, converts to a PDF file automatically and is confirmed twice, once upon submission and once when accepted by the Secretary (FERC). It is possible to submit comments in several dockets simultaneously with this new system.  It will be automatically attached to the RIMS database and eventually will be a searchable file. In the near future, RIMS will become the only protocol for all documents.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FERC Rulemaking</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Order Denies Rehearing in Preservation of Records, RM99-8, Order No. 617-A.  </w:t>
      </w:r>
      <w:r>
        <w:rPr>
          <w:rFonts w:eastAsia="Times New Roman" w:cs="Times New Roman" w:ascii="Times New Roman" w:hAnsi="Times New Roman"/>
        </w:rPr>
        <w:t>FERC issued an order denying Edison Electric's request for rehearing requesting a reduction of one retention period and revision of one regulatory text.  Edison claims that FERC has increased the record retention to maintain plant records from 6 years to 25 years.  FERC states it has always required 25 years. However, FERC clarifies that companies are required to keep plant records until the facilities are permanently removed from service and retired from the accounting records since it is possible that records are maintained for either shorter or longer periods than 25 years.  Additionally, Edison was concerned that supporting cost information for services performed by or for associated or affiliated companies might extend to utility affiliates in general.  FERC responds that the regulatory text in the final rule clearly states the FERC's needs related to records retention for transactions between utilities and affiliates and denies rehearing.</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Imbalance Netting and Trading Filings Have Been Suspended, Subject to Review, RM96-1-014.  </w:t>
      </w:r>
      <w:r>
        <w:rPr>
          <w:rFonts w:eastAsia="Times New Roman" w:cs="Times New Roman" w:ascii="Times New Roman" w:hAnsi="Times New Roman"/>
        </w:rPr>
        <w:t xml:space="preserve">This order suspends the filings made by 22 pipelines missing the thirty-day advance notification to FERC on their imbalance netting and trading tariff filings.  These filings are subject to refund to become effective November 1, 2000 and subject to review of the Order No. 637 compliance filings.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 xml:space="preserve">Final Rule Streamlines Merger Filing Process, RM98-4.  </w:t>
      </w:r>
      <w:r>
        <w:rPr>
          <w:rFonts w:eastAsia="Times New Roman" w:cs="Times New Roman" w:ascii="Times New Roman" w:hAnsi="Times New Roman"/>
        </w:rPr>
        <w:t xml:space="preserve">This week FERC codifies Section 203 of the Federal Power Act lessening regulatory burdens on utility companies seeking approval of merger applications. The final rule revises filing requirements in Part 33, provides more detail for the industry to follow in developing competitive market analysis, continues the screening process with potential horizontal competitive concerns and establishes informational requirements on vertical market analysis. Commissioner Breathitt warned of potential concerns regarding confidentiality but all commissioners favor the final rule for its administrative and expeditious ease.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 xml:space="preserve">Technical Conference Held November 9 Holds Few Surprises But No Immediate Fix For California Wholesale Market.  </w:t>
      </w:r>
      <w:r>
        <w:rPr>
          <w:rFonts w:eastAsia="Times New Roman" w:cs="Times New Roman" w:ascii="Times New Roman" w:hAnsi="Times New Roman"/>
        </w:rPr>
        <w:t xml:space="preserve">FERC heard from thirty people yesterday at the all-day conference on proposals to fix the state's bulk power market.  Three main topics dominated:  1) clarifying FERC's proposals on "soft cap" on wholesale prices, 2) finding a method for replacing the stakeholder boards of the California ISO and PX and 3) seeking solutions that encompass the wider West and Northeast regions. Generators and marketers expressed general dissatisfaction with price caps saying caps affect peaking plants, which run for shorter periods of time when demand is high and therefore, must bring in higher returns to cover costs.  Steve Kean told FERC that the economic uncertainty due to the threat of price caps forced us to scrap a proposed 300 MW from construction.  Calpine seconded the uncertainty of the market and said price caps did not affect profitability but contributed to his company's decision to drop proposals for three peaking plants.  Cal-ISO's Winter suggested that any decision regarding California's markets need to be explored based on regionalization, not California by itself.  Calpine commented that the current interstate interconnections are a "Swiss cheese arrangement."  Several California panelists took FERC to task for not awarding refunds to ratepayers.  PG&amp;E finds FERC's "short-term solutions woefully inadequate."  Governor Gray Davis said FERC's suggestions ordered Californians to adopt new and untested measures that would take 10 years to show results.  Flatly, he stated, "I can't allow you to do that."  By switching price cap authority away from California to FERC, it has also taken away the state's ability to fix its problems.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 xml:space="preserve">FERC Public Conference Set for November 14 in San Diego For Discussion of  California's Wholesale Electric Markets, EL00-95.  </w:t>
      </w:r>
      <w:r>
        <w:rPr>
          <w:rFonts w:eastAsia="Times New Roman" w:cs="Times New Roman" w:ascii="Times New Roman" w:hAnsi="Times New Roman"/>
        </w:rPr>
        <w:t xml:space="preserve"> The conference supplements the conference held on November 9 and is being held primarily to ensure that the citizens of San Diego have their moment to air their concerns on rate impacts with the Commission directly.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ETS-Related FERC Orders and Filings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Florida Gas</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Accepted clarifying tariff sheets on shippers' rights to reduce contract demand, RP00-212</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Accepted filing revising flex decrease in Effective Fuel Reimbursement, RP01-61</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Noticed filing to change to route of the Tampa South Lateral Extension, CP99-94</w:t>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Northern Border</w:t>
      </w:r>
    </w:p>
    <w:p>
      <w:pPr>
        <w:pStyle w:val="Normal"/>
        <w:numPr>
          <w:ilvl w:val="0"/>
          <w:numId w:val="4"/>
        </w:numPr>
        <w:tabs>
          <w:tab w:val="clear" w:pos="540"/>
          <w:tab w:val="left" w:pos="0" w:leader="none"/>
          <w:tab w:val="left" w:pos="342" w:leader="none"/>
        </w:tabs>
        <w:ind w:hanging="720" w:start="1062" w:end="0"/>
        <w:rPr>
          <w:rFonts w:ascii="Times New Roman" w:hAnsi="Times New Roman" w:eastAsia="Times New Roman" w:cs="Times New Roman"/>
          <w:u w:val="single"/>
        </w:rPr>
      </w:pPr>
      <w:r>
        <w:rPr>
          <w:rFonts w:eastAsia="Times New Roman" w:cs="Times New Roman" w:ascii="Times New Roman" w:hAnsi="Times New Roman"/>
          <w:u w:val="single"/>
        </w:rPr>
        <w:t>Certification of Uncontested Settlement</w:t>
      </w:r>
    </w:p>
    <w:p>
      <w:pPr>
        <w:pStyle w:val="Normal"/>
        <w:numPr>
          <w:ilvl w:val="0"/>
          <w:numId w:val="4"/>
        </w:numPr>
        <w:tabs>
          <w:tab w:val="clear" w:pos="540"/>
          <w:tab w:val="left" w:pos="0" w:leader="none"/>
          <w:tab w:val="left" w:pos="342" w:leader="none"/>
        </w:tabs>
        <w:ind w:hanging="720" w:start="1062" w:end="0"/>
        <w:rPr>
          <w:rFonts w:ascii="Times New Roman" w:hAnsi="Times New Roman" w:eastAsia="Times New Roman" w:cs="Times New Roman"/>
        </w:rPr>
      </w:pPr>
      <w:r>
        <w:rPr>
          <w:rFonts w:eastAsia="Times New Roman" w:cs="Times New Roman" w:ascii="Times New Roman" w:hAnsi="Times New Roman"/>
        </w:rPr>
        <w:t xml:space="preserve">ALJ has certified Northern's uncontested settlement on November 9.  The proposed settlement a) establishes a level of base rates for defined services that will be effective until the next rate filing, b) will retain a mileage-based rate design methodology and rates will use SFV design, c) Chicago Project costs included in the rate base, d) establishes 2.25% as the depreciation rate, e) several differing moratoria established and f) reduction in proposed rate of ROE from 15.25% to 12%, g) customers will be billed under a stated rate form of tariff and h) new rate case will be filed November 1, 2005.  </w:t>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Northern Natural</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 xml:space="preserve">Granted abandonment of inactive service with MidAmerican Energy, CP00-433. </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Noticed filings for negotiated rate transaction with UtiliCorp, RP96-272 and Midwest Natural Gas, RP96-272; Sourcer's flow obligation to source or buyout for 2000 Carlton Settlement, RP96-347; revising rates for an adjustment for the return and tax components of the System Levelized Account (SLA) balance as of March 31, 2000.</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u w:val="single"/>
        </w:rPr>
      </w:pPr>
      <w:r>
        <w:rPr>
          <w:rFonts w:eastAsia="Times New Roman" w:cs="Times New Roman" w:ascii="Times New Roman" w:hAnsi="Times New Roman"/>
          <w:u w:val="single"/>
        </w:rPr>
        <w:t>Optional Volumetric Service</w:t>
      </w:r>
    </w:p>
    <w:p>
      <w:pPr>
        <w:pStyle w:val="Normal"/>
        <w:numPr>
          <w:ilvl w:val="0"/>
          <w:numId w:val="4"/>
        </w:numPr>
        <w:tabs>
          <w:tab w:val="clear" w:pos="540"/>
          <w:tab w:val="left" w:pos="0" w:leader="none"/>
          <w:tab w:val="left" w:pos="342" w:leader="none"/>
        </w:tabs>
        <w:ind w:hanging="720" w:start="1062" w:end="0"/>
        <w:rPr>
          <w:rFonts w:ascii="Times New Roman" w:hAnsi="Times New Roman" w:eastAsia="Times New Roman" w:cs="Times New Roman"/>
        </w:rPr>
      </w:pPr>
      <w:r>
        <w:rPr>
          <w:rFonts w:eastAsia="Times New Roman" w:cs="Times New Roman" w:ascii="Times New Roman" w:hAnsi="Times New Roman"/>
        </w:rPr>
        <w:t xml:space="preserve">Accepted Northern's optional volumetric firm service (VFT) tariff sheets following a technical conference, RP00-264. The service is optional, available to new customers and permits a conversion option for existing customers.  The rate for VGT is a one-part volumetric rate based on customer's historical usage, is for a minimum one-year term allowing customers to shift a portion of weather-related market risks to Northern while alleviating the unit cost volatility associated with two-part rates under SFT rate design and lets customers use a "pay as you go" billing option.  FERC directs Northern to use the last five years as a base period for the VFT load factor calculation.  </w:t>
      </w:r>
    </w:p>
    <w:p>
      <w:pPr>
        <w:pStyle w:val="Normal"/>
        <w:numPr>
          <w:ilvl w:val="0"/>
          <w:numId w:val="4"/>
        </w:numPr>
        <w:tabs>
          <w:tab w:val="clear" w:pos="540"/>
          <w:tab w:val="left" w:pos="0" w:leader="none"/>
          <w:tab w:val="left" w:pos="342" w:leader="none"/>
        </w:tabs>
        <w:ind w:hanging="720" w:start="1062" w:end="0"/>
        <w:rPr>
          <w:rFonts w:ascii="Times New Roman" w:hAnsi="Times New Roman" w:eastAsia="Times New Roman" w:cs="Times New Roman"/>
          <w:u w:val="single"/>
        </w:rPr>
      </w:pPr>
      <w:r>
        <w:rPr>
          <w:rFonts w:eastAsia="Times New Roman" w:cs="Times New Roman" w:ascii="Times New Roman" w:hAnsi="Times New Roman"/>
          <w:u w:val="single"/>
        </w:rPr>
        <w:t>Carlton Resolution</w:t>
      </w:r>
    </w:p>
    <w:p>
      <w:pPr>
        <w:pStyle w:val="Normal"/>
        <w:numPr>
          <w:ilvl w:val="0"/>
          <w:numId w:val="4"/>
        </w:numPr>
        <w:tabs>
          <w:tab w:val="clear" w:pos="540"/>
          <w:tab w:val="left" w:pos="0" w:leader="none"/>
          <w:tab w:val="left" w:pos="342" w:leader="none"/>
        </w:tabs>
        <w:ind w:hanging="720" w:start="1062" w:end="0"/>
        <w:rPr>
          <w:rFonts w:ascii="Times New Roman" w:hAnsi="Times New Roman" w:eastAsia="Times New Roman" w:cs="Times New Roman"/>
        </w:rPr>
      </w:pPr>
      <w:r>
        <w:rPr>
          <w:rFonts w:eastAsia="Times New Roman" w:cs="Times New Roman" w:ascii="Times New Roman" w:hAnsi="Times New Roman"/>
        </w:rPr>
        <w:t>FERC issued an order in Northern's filing to modify its Carlton Resolution, RP96-347.  Northern's evidence supporting the proposed new mechanism to calculate the Carlton Premium and surcharge was not convincing to FERC.  Compensation to Carlton sourcers and the derivation of Carlton premium under this new methodology was questioned as to its accuracy in reflecting market conditions.  FERC suggests that affected shippers be involved in supporting any methodology changes to the Carlton settlement and rejects the filing.</w:t>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Transwestern</w:t>
      </w:r>
    </w:p>
    <w:p>
      <w:pPr>
        <w:pStyle w:val="Normal"/>
        <w:numPr>
          <w:ilvl w:val="0"/>
          <w:numId w:val="4"/>
        </w:numPr>
        <w:tabs>
          <w:tab w:val="clear" w:pos="540"/>
          <w:tab w:val="left" w:pos="0" w:leader="none"/>
          <w:tab w:val="left" w:pos="720" w:leader="none"/>
        </w:tabs>
        <w:ind w:hanging="360" w:start="1440" w:end="0"/>
        <w:rPr>
          <w:rFonts w:ascii="Times New Roman" w:hAnsi="Times New Roman" w:eastAsia="Times New Roman" w:cs="Times New Roman"/>
        </w:rPr>
      </w:pPr>
      <w:r>
        <w:rPr>
          <w:rFonts w:eastAsia="Times New Roman" w:cs="Times New Roman" w:ascii="Times New Roman" w:hAnsi="Times New Roman"/>
        </w:rPr>
        <w:t>Tolling order for rehearing request issued in filing for offsystem capacity on Public Service Co. of New Mexico, RP00-249.</w:t>
      </w:r>
    </w:p>
    <w:p>
      <w:pPr>
        <w:pStyle w:val="Normal"/>
        <w:tabs>
          <w:tab w:val="clear" w:pos="540"/>
        </w:tabs>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pPr>
      <w:r>
        <w:rPr>
          <w:rFonts w:eastAsia="Times New Roman" w:cs="Times New Roman" w:ascii="Times New Roman" w:hAnsi="Times New Roman"/>
          <w:b/>
          <w:bCs/>
        </w:rPr>
        <w:t xml:space="preserve">Texas Eastern Files to Reduce Rates by $137 Million, RP01-69.  </w:t>
      </w:r>
      <w:r>
        <w:rPr>
          <w:rFonts w:eastAsia="Times New Roman" w:cs="Times New Roman" w:ascii="Times New Roman" w:hAnsi="Times New Roman"/>
        </w:rPr>
        <w:t>Texas Eastern states that the approximate $137 million rate reduction filing is based upon the projected full recovery of Order No. 636 transition costs as of December 1, 2000.  This equates to an overall decrease of 8.32 cents for typical long-haul service for the upcoming winter.</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pPr>
      <w:r>
        <w:rPr>
          <w:rFonts w:eastAsia="Times New Roman" w:cs="Times New Roman" w:ascii="Times New Roman" w:hAnsi="Times New Roman"/>
          <w:b/>
          <w:bCs/>
        </w:rPr>
        <w:t xml:space="preserve">NGPL Sells Interests in Offshore Facilities to Green Canyon and East Breaks Gathering, CP00-369/379.  </w:t>
      </w:r>
      <w:r>
        <w:rPr>
          <w:rFonts w:eastAsia="Times New Roman" w:cs="Times New Roman" w:ascii="Times New Roman" w:hAnsi="Times New Roman"/>
        </w:rPr>
        <w:t>Certain other pipelines own partial interest in these facilities and accordingly, are notified of NGPL's intent to sell.  Pipelines include Northern Natural, Tennessee Gas, Sea Robin, ANR, Southern Natural Gas, Columbia Gulf, Mississippi River Transmission, Texas Gas, Texas Eastern, Trunkline, El Paso, CNG, and Koch.  NGPL is requesting non-jurisdictional status once the sale is complete.</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GISB Extensions Granted.  </w:t>
      </w:r>
      <w:r>
        <w:rPr>
          <w:rFonts w:eastAsia="Times New Roman" w:cs="Times New Roman" w:ascii="Times New Roman" w:hAnsi="Times New Roman"/>
        </w:rPr>
        <w:t xml:space="preserve">Mid Louisiana Gas received an extension until December 31, 2000 to implement Internet communications, RM96-1-009; granted an extension of an additional year (October 1, 2001) to implement the Internet/interactive web site and EDI requirements, RP97-151; and Midcoast received extension until October 1, 2001 to implement Internet/interactive web site requirements and EDI.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Vector Pipeline Filing to Start Service Conditionally Accepted, CP98-133.  </w:t>
      </w:r>
      <w:r>
        <w:rPr>
          <w:rFonts w:eastAsia="Times New Roman" w:cs="Times New Roman" w:ascii="Times New Roman" w:hAnsi="Times New Roman"/>
        </w:rPr>
        <w:t>Anticipated in-service date for Vector is December 1, 2000.  Waiver was granted of section 154.207 since Vector is a newly certificated pipeline transporting from the Chicago Hub to Canadian border near Michigan.  Filing is conditioned upon review of Order No. 637 compliance filing.</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pPr>
      <w:r>
        <w:rPr>
          <w:rFonts w:eastAsia="Times New Roman" w:cs="Times New Roman" w:ascii="Times New Roman" w:hAnsi="Times New Roman"/>
          <w:b/>
          <w:bCs/>
        </w:rPr>
        <w:t xml:space="preserve">North Baja Pipeline Submits Application To Construct Pipeline for 500,000 Mcf/day in Arizona, CP01-22.  </w:t>
      </w:r>
      <w:r>
        <w:rPr>
          <w:rFonts w:eastAsia="Times New Roman" w:cs="Times New Roman" w:ascii="Times New Roman" w:hAnsi="Times New Roman"/>
        </w:rPr>
        <w:t>North Baja (NPB) is proposing to construct a new pipeline system into Arizona carrying 500,000 Mcf/day from an interconnection point with El Paso Natural Gas.  At the interconnect, NBP proposes to construct a compressor station with three compressor units; the system would extend for approximately 80 miles through southeast California to a point on the International border between Yuma and Mexicali, North Baja, California, Mexico.  At the international border, NBP will connect with Gasoducto Bajanorte, to be constructed by Sempra Energy.  Gasoducto Bajanorte would transport gas west through Mexicali and on to Tijuana, Mexico where it will interconnect with an existing pipeline, Transportadora de Gas Natural de Baja California (TGN).  TGN runs from Rosarito, Mexico to an interconnection with the facilities of San Diego Gas at the San Diego/Tijuana border.  North Baja is owned by PG&amp;E.  The total cost of the project is estimated at $146 million with a proposed in-service date of September 1, 2002.  NBP is requesting FERC issue a Preliminary Determination.</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Petal Gas Refused Construction Project, CP00-59.  </w:t>
      </w:r>
      <w:r>
        <w:rPr>
          <w:rFonts w:eastAsia="Times New Roman" w:cs="Times New Roman" w:ascii="Times New Roman" w:hAnsi="Times New Roman"/>
        </w:rPr>
        <w:t xml:space="preserve">The Commission rejected Petal Gas' Phase II Expansion Project in Mississippi having failed to comply with environmental conditions; specifically relocating a threatened species prior to receiving written notification from the Director of OEP.  FERC wants an explanation of why this occurred before the project may proceed.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pPr>
      <w:r>
        <w:rPr>
          <w:rFonts w:eastAsia="Times New Roman" w:cs="Times New Roman" w:ascii="Times New Roman" w:hAnsi="Times New Roman"/>
          <w:b/>
          <w:bCs/>
        </w:rPr>
        <w:t xml:space="preserve">Koch Gateway Denied Rehearing by Operation of Law, RP00-498.  </w:t>
      </w:r>
      <w:r>
        <w:rPr>
          <w:rFonts w:eastAsia="Times New Roman" w:cs="Times New Roman" w:ascii="Times New Roman" w:hAnsi="Times New Roman"/>
        </w:rPr>
        <w:t xml:space="preserve">FERC has noticed its intent to take no action on the rehearing requested by Mississippi Valley Gas in the letter order issued on October 10, 2000.  The letter order </w:t>
      </w:r>
      <w:r>
        <w:rPr>
          <w:rFonts w:eastAsia="Times New Roman" w:cs="Times New Roman" w:ascii="Times New Roman" w:hAnsi="Times New Roman"/>
          <w:sz w:val="36"/>
          <w:szCs w:val="36"/>
        </w:rPr>
        <w:t xml:space="preserve"> </w:t>
      </w:r>
      <w:r>
        <w:rPr>
          <w:rFonts w:eastAsia="Times New Roman" w:cs="Times New Roman" w:ascii="Times New Roman" w:hAnsi="Times New Roman"/>
          <w:b/>
          <w:bCs/>
          <w:i/>
          <w:iCs/>
        </w:rPr>
        <w:t xml:space="preserve">Jan finish </w:t>
      </w:r>
    </w:p>
    <w:p>
      <w:pPr>
        <w:pStyle w:val="Normal"/>
        <w:numPr>
          <w:ilvl w:val="0"/>
          <w:numId w:val="0"/>
        </w:numPr>
        <w:tabs>
          <w:tab w:val="clear" w:pos="540"/>
        </w:tabs>
        <w:ind w:hanging="0" w:start="0"/>
        <w:rPr>
          <w:rFonts w:ascii="Times New Roman" w:hAnsi="Times New Roman" w:eastAsia="Times New Roman" w:cs="Times New Roman"/>
          <w:b/>
          <w:bCs/>
          <w:i/>
          <w:i/>
          <w:iCs/>
        </w:rPr>
      </w:pPr>
      <w:r>
        <w:rPr>
          <w:rFonts w:eastAsia="Times New Roman" w:cs="Times New Roman" w:ascii="Times New Roman" w:hAnsi="Times New Roman"/>
          <w:b/>
          <w:bCs/>
          <w:i/>
          <w:iCs/>
        </w:rPr>
      </w:r>
    </w:p>
    <w:p>
      <w:pPr>
        <w:pStyle w:val="Normal"/>
        <w:numPr>
          <w:ilvl w:val="0"/>
          <w:numId w:val="5"/>
        </w:numPr>
        <w:tabs>
          <w:tab w:val="clear" w:pos="540"/>
          <w:tab w:val="left" w:pos="0" w:leader="none"/>
        </w:tabs>
        <w:ind w:hanging="360" w:start="720" w:end="0"/>
        <w:rPr/>
      </w:pPr>
      <w:r>
        <w:rPr>
          <w:rFonts w:eastAsia="Times New Roman" w:cs="Times New Roman" w:ascii="Times New Roman" w:hAnsi="Times New Roman"/>
          <w:b/>
          <w:bCs/>
        </w:rPr>
        <w:t xml:space="preserve">Montana Power Amends Permit, Taking Gas Into and Out of Canada, CP00-446.  </w:t>
      </w:r>
      <w:r>
        <w:rPr>
          <w:rFonts w:eastAsia="Times New Roman" w:cs="Times New Roman" w:ascii="Times New Roman" w:hAnsi="Times New Roman"/>
        </w:rPr>
        <w:t xml:space="preserve">Montana Power has filed an amended Presidential Permit to allow it to export as well as import gas from Canada at the international border.  Montana has been importing gas since 1960.  FERC approves the amendment.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b/>
          <w:bCs/>
        </w:rPr>
        <w:t xml:space="preserve">Wyoming Interstate Order and Colorado Interstate Order Clarifies September 7 Order, Denies Rehearing, RP00-448 and RP00-447.  </w:t>
      </w:r>
      <w:r>
        <w:rPr>
          <w:rFonts w:eastAsia="Times New Roman" w:cs="Times New Roman" w:ascii="Times New Roman" w:hAnsi="Times New Roman"/>
        </w:rPr>
        <w:t xml:space="preserve">Amoco requested rehearing stating that WIC's tariff language does not state that WIC will flow through refunds to the releasing shipper if FERC orders refunds of rates charged by WIC for capacity release transactions.  Denying rehearing as Amoco requested, FERC does clarify that the rate paid by the replacement shipper for short-term capacity is not subject to refund under Order No. 637.  FERC's general refund policy requires that, when ordered, pipelines make refunds to all shippers paying cost-based rates.  FERC does not believe it is necessary for pipelines to include this general policy in their tariffs.  </w:t>
      </w:r>
      <w:r>
        <w:rPr>
          <w:rFonts w:eastAsia="Times New Roman" w:cs="Times New Roman" w:ascii="Times New Roman" w:hAnsi="Times New Roman"/>
          <w:i/>
          <w:iCs/>
        </w:rPr>
        <w:t>Note:  the same context of this order appears in the CIG order.</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7"/>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b/>
          <w:bCs/>
        </w:rPr>
        <w:t>Reliant Energy's Step Toward Integration of the Natural Gas and Electric Generation Markets, RP00-571.</w:t>
      </w:r>
      <w:r>
        <w:rPr>
          <w:rFonts w:eastAsia="Times New Roman" w:cs="Times New Roman" w:ascii="Times New Roman" w:hAnsi="Times New Roman"/>
        </w:rPr>
        <w:t xml:space="preserve">  Reliant proposes that shippers may submit nominations at any time of the day to be effective on the top of any hour, provided that the nominations are submitted at least 60 minutes prior to the proposed effective time.  Reliant will post scheduled quantities on its web site prior to the flow of gas.  Notifications are to be filed electronically, contingent on waiver of several of GISB standards. Reliant's proposal involves changes to its bumping provisions; specifically, allowing firm shippers to bump interruptible shippers consistent with the proposed hourly nomination cycle, rather than only at the current GISB bumping opportunities.  Reliant states that bumped interruptible shippers will have the same nomination opportunities as any other shipper and thus can renominate every hour.  Reliant is requesting waiver of several GISB standards in light of the proposed increased nomination flexibility.  No protests or adverse comments were received.  FERC accepts the proposal and finds it is unnecessary for GISB waiver of certain standards since Reliant's proposal exceeds GISB standards. FERC granted a limited waiver for Reliant's reduced timeframe in notification to bumped shippers to the extent that an interruptible shipper may not be bumped after 5:00 p.m. on the day of gas flow.  Reliant may bump interruptible shippers on its own system, it may not impact bumping that affect transactions on other pipelines. </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Complaint Matters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8"/>
        </w:numPr>
        <w:tabs>
          <w:tab w:val="clear" w:pos="540"/>
          <w:tab w:val="left" w:pos="0" w:leader="none"/>
        </w:tabs>
        <w:ind w:hanging="360" w:start="720" w:end="0"/>
        <w:rPr/>
      </w:pPr>
      <w:r>
        <w:rPr>
          <w:rFonts w:eastAsia="Times New Roman" w:cs="Times New Roman" w:ascii="Times New Roman" w:hAnsi="Times New Roman"/>
          <w:b/>
          <w:bCs/>
        </w:rPr>
        <w:t xml:space="preserve">Seagull Marketing Services v. Columbia Gulf, RP01-83.  </w:t>
      </w:r>
      <w:r>
        <w:rPr>
          <w:rFonts w:eastAsia="Times New Roman" w:cs="Times New Roman" w:ascii="Times New Roman" w:hAnsi="Times New Roman"/>
        </w:rPr>
        <w:t xml:space="preserve">Seagull filed a complaint on November 8, requesting the Commission stay the ability of Columbia Gulf to assess further monthly imbalance penalties.  At issue are outstanding gas imbalances owed by Seagull to Columbia Gulf under an expired firm agreement and an interruptible agreement.  Seagull does not dispute these imbalances, but rather what is the appropriate cash-out price for the imbalance volumes (tariff is moot) and whether Seagull is liable for imbalance penalties with respect to the outstanding imbalances.  Seagull maintains that the cash-out price should be the prevailing spot market price at the time the imbalances were incurred.  Seagull claims that no penalties should apply since the tariff does not permit authorization of such penalties and the imbalances never caused operational problems.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Electric Matters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pPr>
      <w:r>
        <w:rPr>
          <w:rFonts w:eastAsia="Times New Roman" w:cs="Times New Roman" w:ascii="Times New Roman" w:hAnsi="Times New Roman"/>
          <w:b/>
          <w:bCs/>
        </w:rPr>
        <w:t xml:space="preserve">PG&amp;E Files A Complaint in Federal Court.  </w:t>
      </w:r>
      <w:r>
        <w:rPr>
          <w:rFonts w:eastAsia="Times New Roman" w:cs="Times New Roman" w:ascii="Times New Roman" w:hAnsi="Times New Roman"/>
        </w:rPr>
        <w:t xml:space="preserve">Yesterday PG&amp;E filed a complaint in federal district court in San Francisco, seeking authority to increase electricity rates to recover $3 billion in debt the utility has incurred in wholesale power costs. State regulators have refused to immediately end a rate freeze, which PG&amp;E claims ended in August pending the valuation of its hydro assets. SoCal Edison is trying to collect more than $2 billion in wholesale power costs from its customers.  </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b/>
          <w:bCs/>
        </w:rPr>
        <w:t xml:space="preserve">Generators Scraping New Construction Plans. </w:t>
      </w:r>
      <w:r>
        <w:rPr>
          <w:rFonts w:eastAsia="Times New Roman" w:cs="Times New Roman" w:ascii="Times New Roman" w:hAnsi="Times New Roman"/>
        </w:rPr>
        <w:t xml:space="preserve">Two generators' recent decisions not to construct peaking power units in California may presage more difficulties with the Independent System Operator's plan to secure 1,800 megawatts of peak power for use by summer 2001. Tuesday, Calpine said it was withdrawing permit applications for three peak projects of 91 MW each. Last week, Enron. said it was withdrawing its bid to construct 300 MW of projects in California. Both companies cited economic concerns and time constraints as primary reasons for their decisions. Mark Palmer, EES said recent orders by the ISO and the Federal Energy Regulatory Commission to cap wholesale power prices ultimately led Enron to withdraw its bid. </w:t>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770"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64770" cy="131445"/>
                      </a:xfrm>
                      <a:prstGeom prst="rect"/>
                      <a:solidFill>
                        <a:srgbClr val="FFFFFF">
                          <a:alpha val="0"/>
                        </a:srgbClr>
                      </a:solidFill>
                    </wps:spPr>
                    <wps:txbx>
                      <w:txbxContent>
                        <w:p>
                          <w:pPr>
                            <w:pStyle w:val="Footer"/>
                            <w:rPr>
                              <w:rStyle w:val="PageNumber"/>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6</w:t>
                          </w:r>
                          <w:r>
                            <w:rPr>
                              <w:rStyle w:val="PageNumber"/>
                              <w:sz w:val="18"/>
                              <w:szCs w:val="18"/>
                            </w:rPr>
                            <w:fldChar w:fldCharType="end"/>
                          </w:r>
                        </w:p>
                      </w:txbxContent>
                    </wps:txbx>
                    <wps:bodyPr anchor="t" lIns="0" tIns="0" rIns="0" bIns="0">
                      <a:noAutofit/>
                    </wps:bodyPr>
                  </wps:wsp>
                </a:graphicData>
              </a:graphic>
            </wp:anchor>
          </w:drawing>
        </mc:Choice>
        <mc:Fallback>
          <w:pict>
            <v:rect fillcolor="#FFFFFF" style="position:absolute;rotation:-0;width:5.1pt;height:10.35pt;mso-wrap-distance-left:0pt;mso-wrap-distance-right:0pt;mso-wrap-distance-top:0pt;mso-wrap-distance-bottom:0pt;margin-top:0.05pt;mso-position-vertical-relative:text;margin-left:231.45pt;mso-position-horizontal:center;mso-position-horizontal-relative:margin">
              <v:fill opacity="0f"/>
              <v:textbox inset="0in,0in,0in,0in">
                <w:txbxContent>
                  <w:p>
                    <w:pPr>
                      <w:pStyle w:val="Footer"/>
                      <w:rPr>
                        <w:rStyle w:val="PageNumber"/>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6</w:t>
                    </w:r>
                    <w:r>
                      <w:rPr>
                        <w:rStyle w:val="PageNumber"/>
                        <w:sz w:val="18"/>
                        <w:szCs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Wk11-10.doc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2000-11-01T20:38:00Z</dcterms:created>
  <dc:creator>Jan Butler</dc:creator>
  <dc:description/>
  <dc:language>en-CA</dc:language>
  <cp:lastModifiedBy>Janet Butler</cp:lastModifiedBy>
  <cp:lastPrinted>2000-11-10T11:59:00Z</cp:lastPrinted>
  <dcterms:modified xsi:type="dcterms:W3CDTF">2000-11-10T16:15:00Z</dcterms:modified>
  <cp:revision>9</cp:revision>
  <dc:subject/>
  <dc:title>Weekly Regulatory Report template</dc:title>
</cp:coreProperties>
</file>