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rPr>
      </w:pPr>
      <w:r>
        <w:rPr>
          <w:sz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Heading"/>
        <w:rPr>
          <w:sz w:val="22"/>
        </w:rPr>
      </w:pPr>
      <w:r>
        <w:rPr>
          <w:sz w:val="22"/>
        </w:rPr>
      </w:r>
    </w:p>
    <w:p>
      <w:pPr>
        <w:pStyle w:val="Normal"/>
        <w:rPr>
          <w:sz w:val="22"/>
        </w:rPr>
      </w:pPr>
      <w:r>
        <w:rPr>
          <w:b/>
          <w:i/>
          <w:sz w:val="22"/>
        </w:rPr>
        <w:t>Natural Gas, Electricity and Endless Possibilities</w:t>
      </w:r>
    </w:p>
    <w:p>
      <w:pPr>
        <w:pStyle w:val="Normal"/>
        <w:rPr>
          <w:b/>
          <w:sz w:val="22"/>
        </w:rPr>
      </w:pPr>
      <w:r>
        <w:rPr>
          <w:b/>
          <w:sz w:val="22"/>
        </w:rPr>
        <w:t>ENRON TRANSPORTATION SERVICES</w:t>
      </w:r>
    </w:p>
    <w:p>
      <w:pPr>
        <w:pStyle w:val="Normal"/>
        <w:rPr>
          <w:b/>
          <w:sz w:val="22"/>
        </w:rPr>
      </w:pPr>
      <w:r>
        <w:rPr>
          <w:b/>
          <w:sz w:val="22"/>
        </w:rPr>
      </w:r>
    </w:p>
    <w:p>
      <w:pPr>
        <w:pStyle w:val="Heading"/>
        <w:rPr>
          <w:rFonts w:ascii="CG Times (W1);Times New Roman" w:hAnsi="CG Times (W1);Times New Roman" w:cs="CG Times (W1);Times New Roman"/>
        </w:rPr>
      </w:pPr>
      <w:r>
        <w:rPr>
          <w:rFonts w:cs="CG Times (W1);Times New Roman" w:ascii="CG Times (W1);Times New Roman" w:hAnsi="CG Times (W1);Times New Roman"/>
        </w:rPr>
        <w:tab/>
      </w:r>
    </w:p>
    <w:tbl>
      <w:tblPr>
        <w:tblW w:w="9451" w:type="dxa"/>
        <w:jc w:val="start"/>
        <w:tblInd w:w="198" w:type="dxa"/>
        <w:tblLayout w:type="fixed"/>
        <w:tblCellMar>
          <w:top w:w="0" w:type="dxa"/>
          <w:start w:w="108" w:type="dxa"/>
          <w:bottom w:w="0" w:type="dxa"/>
          <w:end w:w="108" w:type="dxa"/>
        </w:tblCellMar>
      </w:tblPr>
      <w:tblGrid>
        <w:gridCol w:w="1170"/>
        <w:gridCol w:w="4230"/>
        <w:gridCol w:w="1418"/>
        <w:gridCol w:w="2633"/>
      </w:tblGrid>
      <w:tr>
        <w:trPr>
          <w:trHeight w:val="300" w:hRule="exact"/>
        </w:trPr>
        <w:tc>
          <w:tcPr>
            <w:tcW w:w="1170" w:type="dxa"/>
            <w:tcBorders/>
          </w:tcPr>
          <w:p>
            <w:pPr>
              <w:pStyle w:val="Normal"/>
              <w:ind w:start="134" w:end="0"/>
              <w:rPr>
                <w:rFonts w:ascii="CG Times (W1);Times New Roman" w:hAnsi="CG Times (W1);Times New Roman" w:cs="CG Times (W1);Times New Roman"/>
              </w:rPr>
            </w:pPr>
            <w:r>
              <w:rPr>
                <w:rFonts w:cs="CG Times (W1);Times New Roman" w:ascii="CG Times (W1);Times New Roman" w:hAnsi="CG Times (W1);Times New Roman"/>
              </w:rPr>
              <w:t xml:space="preserve">To: </w:t>
            </w:r>
          </w:p>
        </w:tc>
        <w:tc>
          <w:tcPr>
            <w:tcW w:w="4230" w:type="dxa"/>
            <w:tcBorders/>
          </w:tcPr>
          <w:p>
            <w:pPr>
              <w:pStyle w:val="To"/>
              <w:rPr>
                <w:rFonts w:ascii="CG Times (W1);Times New Roman" w:hAnsi="CG Times (W1);Times New Roman" w:cs="CG Times (W1);Times New Roman"/>
                <w:sz w:val="24"/>
              </w:rPr>
            </w:pPr>
            <w:bookmarkStart w:id="0" w:name="to"/>
            <w:bookmarkEnd w:id="0"/>
            <w:r>
              <w:rPr>
                <w:rFonts w:cs="CG Times (W1);Times New Roman" w:ascii="CG Times (W1);Times New Roman" w:hAnsi="CG Times (W1);Times New Roman"/>
                <w:sz w:val="24"/>
              </w:rPr>
              <w:t>Distribution</w:t>
            </w:r>
          </w:p>
          <w:p>
            <w:pPr>
              <w:pStyle w:val="To"/>
              <w:rPr>
                <w:rFonts w:ascii="CG Times (W1);Times New Roman" w:hAnsi="CG Times (W1);Times New Roman" w:cs="CG Times (W1);Times New Roman"/>
                <w:sz w:val="24"/>
              </w:rPr>
            </w:pPr>
            <w:r>
              <w:rPr>
                <w:rFonts w:cs="CG Times (W1);Times New Roman" w:ascii="CG Times (W1);Times New Roman" w:hAnsi="CG Times (W1);Times New Roman"/>
                <w:sz w:val="24"/>
              </w:rPr>
            </w:r>
          </w:p>
        </w:tc>
        <w:tc>
          <w:tcPr>
            <w:tcW w:w="1418" w:type="dxa"/>
            <w:tcBorders/>
          </w:tcPr>
          <w:p>
            <w:pPr>
              <w:pStyle w:val="Normal"/>
              <w:snapToGrid w:val="false"/>
              <w:ind w:start="-180" w:end="0"/>
              <w:rPr>
                <w:rFonts w:ascii="CG Times (W1);Times New Roman" w:hAnsi="CG Times (W1);Times New Roman" w:cs="CG Times (W1);Times New Roman"/>
                <w:sz w:val="24"/>
              </w:rPr>
            </w:pPr>
            <w:r>
              <w:rPr>
                <w:rFonts w:cs="CG Times (W1);Times New Roman" w:ascii="CG Times (W1);Times New Roman" w:hAnsi="CG Times (W1);Times New Roman"/>
                <w:sz w:val="24"/>
              </w:rPr>
            </w:r>
          </w:p>
        </w:tc>
        <w:tc>
          <w:tcPr>
            <w:tcW w:w="2633" w:type="dxa"/>
            <w:tcBorders/>
          </w:tcPr>
          <w:p>
            <w:pPr>
              <w:pStyle w:val="Normal"/>
              <w:snapToGrid w:val="false"/>
              <w:rPr>
                <w:rFonts w:ascii="CG Times (W1);Times New Roman" w:hAnsi="CG Times (W1);Times New Roman" w:cs="CG Times (W1);Times New Roman"/>
              </w:rPr>
            </w:pPr>
            <w:r>
              <w:rPr>
                <w:rFonts w:cs="CG Times (W1);Times New Roman" w:ascii="CG Times (W1);Times New Roman" w:hAnsi="CG Times (W1);Times New Roman"/>
              </w:rPr>
            </w:r>
          </w:p>
        </w:tc>
      </w:tr>
      <w:tr>
        <w:trPr>
          <w:trHeight w:val="216" w:hRule="exact"/>
        </w:trPr>
        <w:tc>
          <w:tcPr>
            <w:tcW w:w="1170" w:type="dxa"/>
            <w:tcBorders/>
          </w:tcPr>
          <w:p>
            <w:pPr>
              <w:pStyle w:val="Normal"/>
              <w:snapToGrid w:val="false"/>
              <w:ind w:start="-180" w:end="0"/>
              <w:jc w:val="end"/>
              <w:rPr>
                <w:rFonts w:ascii="CG Times (W1);Times New Roman" w:hAnsi="CG Times (W1);Times New Roman" w:cs="CG Times (W1);Times New Roman"/>
              </w:rPr>
            </w:pPr>
            <w:r>
              <w:rPr>
                <w:rFonts w:cs="CG Times (W1);Times New Roman" w:ascii="CG Times (W1);Times New Roman" w:hAnsi="CG Times (W1);Times New Roman"/>
              </w:rPr>
            </w:r>
          </w:p>
        </w:tc>
        <w:tc>
          <w:tcPr>
            <w:tcW w:w="4230" w:type="dxa"/>
            <w:tcBorders/>
          </w:tcPr>
          <w:p>
            <w:pPr>
              <w:pStyle w:val="Normal"/>
              <w:snapToGrid w:val="false"/>
              <w:rPr>
                <w:rFonts w:ascii="CG Times (W1);Times New Roman" w:hAnsi="CG Times (W1);Times New Roman" w:cs="CG Times (W1);Times New Roman"/>
              </w:rPr>
            </w:pPr>
            <w:r>
              <w:rPr>
                <w:rFonts w:cs="CG Times (W1);Times New Roman" w:ascii="CG Times (W1);Times New Roman" w:hAnsi="CG Times (W1);Times New Roman"/>
              </w:rPr>
            </w:r>
          </w:p>
        </w:tc>
        <w:tc>
          <w:tcPr>
            <w:tcW w:w="1418" w:type="dxa"/>
            <w:tcBorders/>
          </w:tcPr>
          <w:p>
            <w:pPr>
              <w:pStyle w:val="Normal"/>
              <w:snapToGrid w:val="false"/>
              <w:ind w:start="-180" w:end="0"/>
              <w:rPr>
                <w:rFonts w:ascii="CG Times (W1);Times New Roman" w:hAnsi="CG Times (W1);Times New Roman" w:cs="CG Times (W1);Times New Roman"/>
              </w:rPr>
            </w:pPr>
            <w:r>
              <w:rPr>
                <w:rFonts w:cs="CG Times (W1);Times New Roman" w:ascii="CG Times (W1);Times New Roman" w:hAnsi="CG Times (W1);Times New Roman"/>
              </w:rPr>
            </w:r>
          </w:p>
        </w:tc>
        <w:tc>
          <w:tcPr>
            <w:tcW w:w="2633" w:type="dxa"/>
            <w:tcBorders/>
          </w:tcPr>
          <w:p>
            <w:pPr>
              <w:pStyle w:val="Normal"/>
              <w:snapToGrid w:val="false"/>
              <w:rPr>
                <w:rFonts w:ascii="CG Times (W1);Times New Roman" w:hAnsi="CG Times (W1);Times New Roman" w:cs="CG Times (W1);Times New Roman"/>
              </w:rPr>
            </w:pPr>
            <w:r>
              <w:rPr>
                <w:rFonts w:cs="CG Times (W1);Times New Roman" w:ascii="CG Times (W1);Times New Roman" w:hAnsi="CG Times (W1);Times New Roman"/>
              </w:rPr>
            </w:r>
          </w:p>
        </w:tc>
      </w:tr>
      <w:tr>
        <w:trPr>
          <w:trHeight w:val="300" w:hRule="exact"/>
        </w:trPr>
        <w:tc>
          <w:tcPr>
            <w:tcW w:w="1170" w:type="dxa"/>
            <w:tcBorders/>
          </w:tcPr>
          <w:p>
            <w:pPr>
              <w:pStyle w:val="Normal"/>
              <w:ind w:firstLine="28" w:start="134" w:end="0"/>
              <w:rPr>
                <w:rFonts w:ascii="CG Times (W1);Times New Roman" w:hAnsi="CG Times (W1);Times New Roman" w:cs="CG Times (W1);Times New Roman"/>
              </w:rPr>
            </w:pPr>
            <w:r>
              <w:rPr>
                <w:rFonts w:cs="CG Times (W1);Times New Roman" w:ascii="CG Times (W1);Times New Roman" w:hAnsi="CG Times (W1);Times New Roman"/>
              </w:rPr>
              <w:t>From:</w:t>
            </w:r>
          </w:p>
        </w:tc>
        <w:tc>
          <w:tcPr>
            <w:tcW w:w="4230" w:type="dxa"/>
            <w:tcBorders/>
          </w:tcPr>
          <w:p>
            <w:pPr>
              <w:pStyle w:val="From"/>
              <w:rPr>
                <w:rFonts w:ascii="CG Times (W1);Times New Roman" w:hAnsi="CG Times (W1);Times New Roman" w:cs="CG Times (W1);Times New Roman"/>
                <w:sz w:val="24"/>
              </w:rPr>
            </w:pPr>
            <w:r>
              <w:rPr>
                <w:rFonts w:cs="CG Times (W1);Times New Roman" w:ascii="CG Times (W1);Times New Roman" w:hAnsi="CG Times (W1);Times New Roman"/>
                <w:sz w:val="24"/>
              </w:rPr>
              <w:t>Jan Butler / Shelley Corman</w:t>
            </w:r>
          </w:p>
        </w:tc>
        <w:tc>
          <w:tcPr>
            <w:tcW w:w="1418" w:type="dxa"/>
            <w:tcBorders/>
          </w:tcPr>
          <w:p>
            <w:pPr>
              <w:pStyle w:val="Normal"/>
              <w:snapToGrid w:val="false"/>
              <w:ind w:start="-180" w:end="0"/>
              <w:jc w:val="end"/>
              <w:rPr>
                <w:rFonts w:ascii="CG Times (W1);Times New Roman" w:hAnsi="CG Times (W1);Times New Roman" w:cs="CG Times (W1);Times New Roman"/>
                <w:sz w:val="24"/>
              </w:rPr>
            </w:pPr>
            <w:r>
              <w:rPr>
                <w:rFonts w:cs="CG Times (W1);Times New Roman" w:ascii="CG Times (W1);Times New Roman" w:hAnsi="CG Times (W1);Times New Roman"/>
                <w:sz w:val="24"/>
              </w:rPr>
            </w:r>
          </w:p>
        </w:tc>
        <w:tc>
          <w:tcPr>
            <w:tcW w:w="2633" w:type="dxa"/>
            <w:tcBorders/>
          </w:tcPr>
          <w:p>
            <w:pPr>
              <w:pStyle w:val="Department"/>
              <w:snapToGrid w:val="false"/>
              <w:rPr>
                <w:rFonts w:ascii="CG Times (W1);Times New Roman" w:hAnsi="CG Times (W1);Times New Roman" w:cs="CG Times (W1);Times New Roman"/>
                <w:sz w:val="24"/>
              </w:rPr>
            </w:pPr>
            <w:r>
              <w:rPr>
                <w:rFonts w:cs="CG Times (W1);Times New Roman" w:ascii="CG Times (W1);Times New Roman" w:hAnsi="CG Times (W1);Times New Roman"/>
                <w:sz w:val="24"/>
              </w:rPr>
            </w:r>
            <w:bookmarkStart w:id="1" w:name="From"/>
            <w:bookmarkStart w:id="2" w:name="From"/>
            <w:bookmarkEnd w:id="2"/>
          </w:p>
        </w:tc>
      </w:tr>
      <w:tr>
        <w:trPr>
          <w:trHeight w:val="216" w:hRule="exact"/>
        </w:trPr>
        <w:tc>
          <w:tcPr>
            <w:tcW w:w="1170" w:type="dxa"/>
            <w:tcBorders/>
          </w:tcPr>
          <w:p>
            <w:pPr>
              <w:pStyle w:val="Normal"/>
              <w:snapToGrid w:val="false"/>
              <w:ind w:start="-180" w:end="0"/>
              <w:jc w:val="end"/>
              <w:rPr>
                <w:rFonts w:ascii="CG Times (W1);Times New Roman" w:hAnsi="CG Times (W1);Times New Roman" w:cs="CG Times (W1);Times New Roman"/>
                <w:sz w:val="24"/>
              </w:rPr>
            </w:pPr>
            <w:r>
              <w:rPr>
                <w:rFonts w:cs="CG Times (W1);Times New Roman" w:ascii="CG Times (W1);Times New Roman" w:hAnsi="CG Times (W1);Times New Roman"/>
                <w:sz w:val="24"/>
              </w:rPr>
            </w:r>
          </w:p>
        </w:tc>
        <w:tc>
          <w:tcPr>
            <w:tcW w:w="4230" w:type="dxa"/>
            <w:tcBorders/>
          </w:tcPr>
          <w:p>
            <w:pPr>
              <w:pStyle w:val="Normal"/>
              <w:snapToGrid w:val="false"/>
              <w:rPr>
                <w:rFonts w:ascii="CG Times (W1);Times New Roman" w:hAnsi="CG Times (W1);Times New Roman" w:cs="CG Times (W1);Times New Roman"/>
              </w:rPr>
            </w:pPr>
            <w:r>
              <w:rPr>
                <w:rFonts w:cs="CG Times (W1);Times New Roman" w:ascii="CG Times (W1);Times New Roman" w:hAnsi="CG Times (W1);Times New Roman"/>
              </w:rPr>
            </w:r>
          </w:p>
        </w:tc>
        <w:tc>
          <w:tcPr>
            <w:tcW w:w="1418" w:type="dxa"/>
            <w:tcBorders/>
          </w:tcPr>
          <w:p>
            <w:pPr>
              <w:pStyle w:val="Normal"/>
              <w:snapToGrid w:val="false"/>
              <w:ind w:start="-180" w:end="0"/>
              <w:rPr>
                <w:rFonts w:ascii="CG Times (W1);Times New Roman" w:hAnsi="CG Times (W1);Times New Roman" w:cs="CG Times (W1);Times New Roman"/>
              </w:rPr>
            </w:pPr>
            <w:r>
              <w:rPr>
                <w:rFonts w:cs="CG Times (W1);Times New Roman" w:ascii="CG Times (W1);Times New Roman" w:hAnsi="CG Times (W1);Times New Roman"/>
              </w:rPr>
            </w:r>
          </w:p>
        </w:tc>
        <w:tc>
          <w:tcPr>
            <w:tcW w:w="2633" w:type="dxa"/>
            <w:tcBorders/>
          </w:tcPr>
          <w:p>
            <w:pPr>
              <w:pStyle w:val="Normal"/>
              <w:snapToGrid w:val="false"/>
              <w:rPr>
                <w:rFonts w:ascii="CG Times (W1);Times New Roman" w:hAnsi="CG Times (W1);Times New Roman" w:cs="CG Times (W1);Times New Roman"/>
              </w:rPr>
            </w:pPr>
            <w:r>
              <w:rPr>
                <w:rFonts w:cs="CG Times (W1);Times New Roman" w:ascii="CG Times (W1);Times New Roman" w:hAnsi="CG Times (W1);Times New Roman"/>
              </w:rPr>
            </w:r>
          </w:p>
        </w:tc>
      </w:tr>
      <w:tr>
        <w:trPr>
          <w:trHeight w:val="391" w:hRule="exact"/>
        </w:trPr>
        <w:tc>
          <w:tcPr>
            <w:tcW w:w="1170" w:type="dxa"/>
            <w:tcBorders>
              <w:bottom w:val="single" w:sz="18" w:space="0" w:color="000000"/>
            </w:tcBorders>
          </w:tcPr>
          <w:p>
            <w:pPr>
              <w:pStyle w:val="Normal"/>
              <w:ind w:start="-180" w:end="0"/>
              <w:jc w:val="end"/>
              <w:rPr>
                <w:rFonts w:ascii="CG Times (W1);Times New Roman" w:hAnsi="CG Times (W1);Times New Roman" w:cs="CG Times (W1);Times New Roman"/>
              </w:rPr>
            </w:pPr>
            <w:r>
              <w:rPr>
                <w:rFonts w:cs="CG Times (W1);Times New Roman" w:ascii="CG Times (W1);Times New Roman" w:hAnsi="CG Times (W1);Times New Roman"/>
              </w:rPr>
              <w:t>Subject:</w:t>
            </w:r>
          </w:p>
        </w:tc>
        <w:tc>
          <w:tcPr>
            <w:tcW w:w="4230" w:type="dxa"/>
            <w:tcBorders>
              <w:bottom w:val="single" w:sz="18" w:space="0" w:color="000000"/>
            </w:tcBorders>
          </w:tcPr>
          <w:p>
            <w:pPr>
              <w:pStyle w:val="Normal"/>
              <w:rPr>
                <w:rFonts w:ascii="Times New Roman" w:hAnsi="Times New Roman" w:cs="Times New Roman"/>
              </w:rPr>
            </w:pPr>
            <w:bookmarkStart w:id="3" w:name="Subject"/>
            <w:bookmarkEnd w:id="3"/>
            <w:r>
              <w:rPr>
                <w:rFonts w:cs="Times New Roman" w:ascii="Times New Roman" w:hAnsi="Times New Roman"/>
              </w:rPr>
              <w:t>Weekly Regulatory Report</w:t>
            </w:r>
          </w:p>
        </w:tc>
        <w:tc>
          <w:tcPr>
            <w:tcW w:w="1418" w:type="dxa"/>
            <w:tcBorders>
              <w:bottom w:val="single" w:sz="18" w:space="0" w:color="000000"/>
            </w:tcBorders>
          </w:tcPr>
          <w:p>
            <w:pPr>
              <w:pStyle w:val="Normal"/>
              <w:ind w:start="-180" w:end="0"/>
              <w:jc w:val="end"/>
              <w:rPr>
                <w:rFonts w:ascii="CG Times (W1);Times New Roman" w:hAnsi="CG Times (W1);Times New Roman" w:cs="CG Times (W1);Times New Roman"/>
              </w:rPr>
            </w:pPr>
            <w:r>
              <w:rPr>
                <w:rFonts w:eastAsia="CG Times (W1);Times New Roman" w:cs="CG Times (W1);Times New Roman" w:ascii="CG Times (W1);Times New Roman" w:hAnsi="CG Times (W1);Times New Roman"/>
              </w:rPr>
              <w:t xml:space="preserve">   </w:t>
            </w:r>
            <w:r>
              <w:rPr>
                <w:rFonts w:cs="CG Times (W1);Times New Roman" w:ascii="CG Times (W1);Times New Roman" w:hAnsi="CG Times (W1);Times New Roman"/>
              </w:rPr>
              <w:t>Date:</w:t>
            </w:r>
          </w:p>
        </w:tc>
        <w:tc>
          <w:tcPr>
            <w:tcW w:w="2633" w:type="dxa"/>
            <w:tcBorders>
              <w:bottom w:val="single" w:sz="18" w:space="0" w:color="000000"/>
            </w:tcBorders>
          </w:tcPr>
          <w:p>
            <w:pPr>
              <w:pStyle w:val="Date"/>
              <w:rPr>
                <w:rFonts w:ascii="CG Times (W1);Times New Roman" w:hAnsi="CG Times (W1);Times New Roman" w:cs="CG Times (W1);Times New Roman"/>
                <w:sz w:val="24"/>
              </w:rPr>
            </w:pPr>
            <w:r>
              <w:rPr>
                <w:rFonts w:cs="CG Times (W1);Times New Roman" w:ascii="CG Times (W1);Times New Roman" w:hAnsi="CG Times (W1);Times New Roman"/>
                <w:sz w:val="24"/>
              </w:rPr>
              <w:t>October 6, 2000</w:t>
            </w:r>
          </w:p>
        </w:tc>
      </w:tr>
    </w:tbl>
    <w:p>
      <w:pPr>
        <w:pStyle w:val="Normal"/>
        <w:tabs>
          <w:tab w:val="clear" w:pos="540"/>
        </w:tabs>
        <w:jc w:val="both"/>
        <w:rPr>
          <w:rFonts w:ascii="Times New Roman" w:hAnsi="Times New Roman" w:cs="Times New Roman"/>
        </w:rPr>
      </w:pPr>
      <w:r>
        <w:rPr>
          <w:rFonts w:cs="Times New Roman" w:ascii="Times New Roman" w:hAnsi="Times New Roman"/>
        </w:rPr>
      </w:r>
    </w:p>
    <w:p>
      <w:pPr>
        <w:pStyle w:val="Normal"/>
        <w:tabs>
          <w:tab w:val="clear" w:pos="540"/>
        </w:tabs>
        <w:ind w:start="72" w:end="0"/>
        <w:jc w:val="center"/>
        <w:rPr>
          <w:rFonts w:ascii="Times New Roman" w:hAnsi="Times New Roman" w:cs="Times New Roman"/>
          <w:b/>
        </w:rPr>
      </w:pPr>
      <w:r>
        <w:rPr>
          <w:rFonts w:cs="Times New Roman" w:ascii="Times New Roman" w:hAnsi="Times New Roman"/>
          <w:b/>
        </w:rPr>
      </w:r>
    </w:p>
    <w:p>
      <w:pPr>
        <w:pStyle w:val="Normal"/>
        <w:tabs>
          <w:tab w:val="clear" w:pos="540"/>
        </w:tabs>
        <w:jc w:val="center"/>
        <w:rPr>
          <w:rFonts w:ascii="Times New Roman" w:hAnsi="Times New Roman" w:cs="Times New Roman"/>
          <w:b/>
        </w:rPr>
      </w:pPr>
      <w:r>
        <w:rPr>
          <w:rFonts w:cs="Times New Roman" w:ascii="Times New Roman" w:hAnsi="Times New Roman"/>
          <w:b/>
        </w:rPr>
        <w:t>GENERAL FERC MATTERS</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numPr>
          <w:ilvl w:val="0"/>
          <w:numId w:val="24"/>
        </w:numPr>
        <w:tabs>
          <w:tab w:val="clear" w:pos="540"/>
        </w:tabs>
        <w:rPr>
          <w:rFonts w:ascii="Times New Roman" w:hAnsi="Times New Roman" w:cs="Times New Roman"/>
          <w:b/>
        </w:rPr>
      </w:pPr>
      <w:r>
        <w:rPr>
          <w:rFonts w:cs="Times New Roman" w:ascii="Times New Roman" w:hAnsi="Times New Roman"/>
          <w:b/>
        </w:rPr>
        <w:t xml:space="preserve">Agenda for October 11 FERC Open Meeting.  </w:t>
      </w:r>
      <w:r>
        <w:rPr>
          <w:rFonts w:cs="Times New Roman" w:ascii="Times New Roman" w:hAnsi="Times New Roman"/>
        </w:rPr>
        <w:t>Items of interest are:</w:t>
      </w:r>
    </w:p>
    <w:p>
      <w:pPr>
        <w:pStyle w:val="Normal"/>
        <w:numPr>
          <w:ilvl w:val="0"/>
          <w:numId w:val="24"/>
        </w:numPr>
        <w:tabs>
          <w:tab w:val="clear" w:pos="540"/>
        </w:tabs>
        <w:ind w:hanging="360" w:start="720" w:end="0"/>
        <w:rPr>
          <w:rFonts w:ascii="Times New Roman" w:hAnsi="Times New Roman" w:cs="Times New Roman"/>
          <w:b/>
        </w:rPr>
      </w:pPr>
      <w:r>
        <w:rPr>
          <w:rFonts w:cs="Times New Roman" w:ascii="Times New Roman" w:hAnsi="Times New Roman"/>
        </w:rPr>
        <w:t>Williams Gas, RP98-52 expected order allowing increased credit towards Kansas ad valorem tax refund settlement</w:t>
      </w:r>
    </w:p>
    <w:p>
      <w:pPr>
        <w:pStyle w:val="Normal"/>
        <w:numPr>
          <w:ilvl w:val="0"/>
          <w:numId w:val="24"/>
        </w:numPr>
        <w:tabs>
          <w:tab w:val="clear" w:pos="540"/>
        </w:tabs>
        <w:ind w:hanging="360" w:start="720" w:end="0"/>
        <w:rPr>
          <w:rFonts w:ascii="Times New Roman" w:hAnsi="Times New Roman" w:cs="Times New Roman"/>
          <w:b/>
        </w:rPr>
      </w:pPr>
      <w:r>
        <w:rPr>
          <w:rFonts w:cs="Times New Roman" w:ascii="Times New Roman" w:hAnsi="Times New Roman"/>
        </w:rPr>
        <w:t>East Tennessee, RP00-540 expected order permitting waiver of provisions requiring reimbursement of shipper-requested expansion facilities based on certain economic criteria</w:t>
      </w:r>
    </w:p>
    <w:p>
      <w:pPr>
        <w:pStyle w:val="Normal"/>
        <w:numPr>
          <w:ilvl w:val="0"/>
          <w:numId w:val="24"/>
        </w:numPr>
        <w:tabs>
          <w:tab w:val="clear" w:pos="540"/>
        </w:tabs>
        <w:ind w:hanging="360" w:start="720" w:end="0"/>
        <w:rPr>
          <w:rFonts w:ascii="Times New Roman" w:hAnsi="Times New Roman" w:cs="Times New Roman"/>
          <w:b/>
        </w:rPr>
      </w:pPr>
      <w:r>
        <w:rPr>
          <w:rFonts w:cs="Times New Roman" w:ascii="Times New Roman" w:hAnsi="Times New Roman"/>
        </w:rPr>
        <w:t>KN Wattenberg, CP97-256 expected order on remand order and subsequent vacating of remand on Hinshaw exemption</w:t>
      </w:r>
    </w:p>
    <w:p>
      <w:pPr>
        <w:pStyle w:val="Normal"/>
        <w:numPr>
          <w:ilvl w:val="0"/>
          <w:numId w:val="24"/>
        </w:numPr>
        <w:tabs>
          <w:tab w:val="clear" w:pos="540"/>
        </w:tabs>
        <w:ind w:hanging="360" w:start="720" w:end="0"/>
        <w:rPr>
          <w:rFonts w:ascii="Times New Roman" w:hAnsi="Times New Roman" w:cs="Times New Roman"/>
          <w:b/>
        </w:rPr>
      </w:pPr>
      <w:r>
        <w:rPr>
          <w:rFonts w:cs="Times New Roman" w:ascii="Times New Roman" w:hAnsi="Times New Roman"/>
          <w:b/>
          <w:i/>
        </w:rPr>
        <w:t xml:space="preserve">Discussion Topic:  </w:t>
      </w:r>
      <w:r>
        <w:rPr>
          <w:rFonts w:cs="Times New Roman" w:ascii="Times New Roman" w:hAnsi="Times New Roman"/>
          <w:b/>
        </w:rPr>
        <w:t>Final Rule</w:t>
      </w:r>
      <w:r>
        <w:rPr>
          <w:rFonts w:cs="Times New Roman" w:ascii="Times New Roman" w:hAnsi="Times New Roman"/>
        </w:rPr>
        <w:t xml:space="preserve">, RM98-4 </w:t>
      </w:r>
      <w:r>
        <w:rPr>
          <w:rFonts w:cs="Times New Roman" w:ascii="Times New Roman" w:hAnsi="Times New Roman"/>
          <w:u w:val="single"/>
        </w:rPr>
        <w:t>Filing Requirements</w:t>
      </w:r>
      <w:r>
        <w:rPr>
          <w:rFonts w:cs="Times New Roman" w:ascii="Times New Roman" w:hAnsi="Times New Roman"/>
        </w:rPr>
        <w:t xml:space="preserve"> for electric utilities, including public utility mergers  </w:t>
      </w:r>
      <w:r>
        <w:rPr>
          <w:rFonts w:cs="Times New Roman" w:ascii="Times New Roman" w:hAnsi="Times New Roman"/>
          <w:sz w:val="16"/>
        </w:rPr>
        <w:t>[Attached:  Agenda10-6.doc]</w:t>
      </w:r>
      <w:r>
        <w:rPr>
          <w:rFonts w:cs="Times New Roman" w:ascii="Times New Roman" w:hAnsi="Times New Roman"/>
        </w:rPr>
        <w:t xml:space="preserve"> </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numPr>
          <w:ilvl w:val="0"/>
          <w:numId w:val="24"/>
        </w:numPr>
        <w:tabs>
          <w:tab w:val="clear" w:pos="540"/>
        </w:tabs>
        <w:rPr>
          <w:rFonts w:ascii="Times New Roman" w:hAnsi="Times New Roman" w:cs="Times New Roman"/>
        </w:rPr>
      </w:pPr>
      <w:r>
        <w:rPr>
          <w:rFonts w:cs="Times New Roman" w:ascii="Times New Roman" w:hAnsi="Times New Roman"/>
          <w:b/>
        </w:rPr>
        <w:t xml:space="preserve">FERC Sends 5-Year Plan to Congress.  </w:t>
      </w:r>
      <w:r>
        <w:rPr>
          <w:rFonts w:cs="Times New Roman" w:ascii="Times New Roman" w:hAnsi="Times New Roman"/>
        </w:rPr>
        <w:t xml:space="preserve">FERC has sent its Strategic Plan for Fiscal Years 2000 to 2005 to Congress. Strategic Plans are sent to Congress every three years.  A summary of the Strategic Plan was included in the Weekly Report of August 25. </w:t>
      </w:r>
    </w:p>
    <w:p>
      <w:pPr>
        <w:pStyle w:val="Normal"/>
        <w:tabs>
          <w:tab w:val="clear" w:pos="540"/>
        </w:tabs>
        <w:rPr>
          <w:rFonts w:ascii="Times New Roman" w:hAnsi="Times New Roman" w:cs="Times New Roman"/>
        </w:rPr>
      </w:pPr>
      <w:r>
        <w:rPr>
          <w:rFonts w:cs="Times New Roman" w:ascii="Times New Roman" w:hAnsi="Times New Roman"/>
        </w:rPr>
      </w:r>
    </w:p>
    <w:p>
      <w:pPr>
        <w:pStyle w:val="Normal"/>
        <w:tabs>
          <w:tab w:val="clear" w:pos="540"/>
        </w:tabs>
        <w:jc w:val="center"/>
        <w:rPr>
          <w:rFonts w:ascii="Times New Roman" w:hAnsi="Times New Roman" w:cs="Times New Roman"/>
          <w:b/>
        </w:rPr>
      </w:pPr>
      <w:r>
        <w:rPr>
          <w:rFonts w:cs="Times New Roman" w:ascii="Times New Roman" w:hAnsi="Times New Roman"/>
          <w:b/>
        </w:rPr>
        <w:t>FERC RULEMAKING</w:t>
      </w:r>
    </w:p>
    <w:p>
      <w:pPr>
        <w:pStyle w:val="Normal"/>
        <w:tabs>
          <w:tab w:val="clear" w:pos="540"/>
        </w:tabs>
        <w:jc w:val="center"/>
        <w:rPr>
          <w:rFonts w:ascii="Times New Roman" w:hAnsi="Times New Roman" w:cs="Times New Roman"/>
          <w:b/>
        </w:rPr>
      </w:pPr>
      <w:r>
        <w:rPr>
          <w:rFonts w:cs="Times New Roman" w:ascii="Times New Roman" w:hAnsi="Times New Roman"/>
          <w:b/>
        </w:rPr>
      </w:r>
    </w:p>
    <w:p>
      <w:pPr>
        <w:pStyle w:val="ListBullet"/>
        <w:numPr>
          <w:ilvl w:val="0"/>
          <w:numId w:val="24"/>
        </w:numPr>
        <w:rPr>
          <w:rFonts w:ascii="Times New Roman" w:hAnsi="Times New Roman" w:cs="Times New Roman"/>
        </w:rPr>
      </w:pPr>
      <w:r>
        <w:rPr>
          <w:rFonts w:cs="Times New Roman" w:ascii="Times New Roman" w:hAnsi="Times New Roman"/>
          <w:b/>
        </w:rPr>
        <w:t xml:space="preserve">New Docket Prefix For Utilities.  </w:t>
      </w:r>
      <w:r>
        <w:rPr>
          <w:rFonts w:cs="Times New Roman" w:ascii="Times New Roman" w:hAnsi="Times New Roman"/>
        </w:rPr>
        <w:t xml:space="preserve">FERC is designating a new docket prefix for compliance filings with applications relating to Order No. 2000, specifically for participation in RTOs.  The new designation will be RTFR-NNNN-000 where the FY stands for the fiscal year in which the filing is made and the NNNN is the sequential number (i.e. RT01-1-000).  Public Utilities must file their proposals to participate in a RTO by October 16, 2000.  </w:t>
      </w:r>
    </w:p>
    <w:p>
      <w:pPr>
        <w:pStyle w:val="ListBullet"/>
        <w:numPr>
          <w:ilvl w:val="0"/>
          <w:numId w:val="0"/>
        </w:numPr>
        <w:ind w:hanging="0" w:start="0"/>
        <w:rPr>
          <w:rFonts w:ascii="Times New Roman" w:hAnsi="Times New Roman" w:cs="Times New Roman"/>
        </w:rPr>
      </w:pPr>
      <w:r>
        <w:rPr>
          <w:rFonts w:cs="Times New Roman" w:ascii="Times New Roman" w:hAnsi="Times New Roman"/>
        </w:rPr>
      </w:r>
    </w:p>
    <w:p>
      <w:pPr>
        <w:pStyle w:val="ListBullet"/>
        <w:numPr>
          <w:ilvl w:val="0"/>
          <w:numId w:val="21"/>
        </w:numPr>
        <w:rPr>
          <w:rFonts w:ascii="Times New Roman" w:hAnsi="Times New Roman" w:cs="Times New Roman"/>
          <w:b/>
        </w:rPr>
      </w:pPr>
      <w:r>
        <w:rPr>
          <w:rFonts w:cs="Times New Roman" w:ascii="Times New Roman" w:hAnsi="Times New Roman"/>
          <w:b/>
        </w:rPr>
        <w:t>Order 637 Update</w:t>
      </w:r>
    </w:p>
    <w:p>
      <w:pPr>
        <w:pStyle w:val="Normal"/>
        <w:numPr>
          <w:ilvl w:val="0"/>
          <w:numId w:val="12"/>
        </w:numPr>
        <w:tabs>
          <w:tab w:val="clear" w:pos="540"/>
          <w:tab w:val="left" w:pos="720" w:leader="none"/>
        </w:tabs>
        <w:ind w:hanging="360" w:start="720" w:end="0"/>
        <w:rPr>
          <w:rFonts w:ascii="Times New Roman" w:hAnsi="Times New Roman" w:cs="Times New Roman"/>
        </w:rPr>
      </w:pPr>
      <w:r>
        <w:rPr>
          <w:rFonts w:cs="Times New Roman" w:ascii="Times New Roman" w:hAnsi="Times New Roman"/>
        </w:rPr>
        <w:t xml:space="preserve">ANR's second technical conference is scheduled for October 4.  </w:t>
      </w:r>
    </w:p>
    <w:p>
      <w:pPr>
        <w:pStyle w:val="Normal"/>
        <w:numPr>
          <w:ilvl w:val="0"/>
          <w:numId w:val="12"/>
        </w:numPr>
        <w:tabs>
          <w:tab w:val="clear" w:pos="540"/>
          <w:tab w:val="left" w:pos="720" w:leader="none"/>
        </w:tabs>
        <w:ind w:hanging="360" w:start="720" w:end="0"/>
        <w:rPr>
          <w:rFonts w:ascii="Times New Roman" w:hAnsi="Times New Roman" w:cs="Times New Roman"/>
        </w:rPr>
      </w:pPr>
      <w:r>
        <w:rPr>
          <w:rFonts w:cs="Times New Roman" w:ascii="Times New Roman" w:hAnsi="Times New Roman"/>
        </w:rPr>
        <w:t>See attached report (637_update.doc) for a summary of conferences and filings that occurred this week.</w:t>
      </w:r>
    </w:p>
    <w:p>
      <w:pPr>
        <w:pStyle w:val="Normal"/>
        <w:numPr>
          <w:ilvl w:val="0"/>
          <w:numId w:val="12"/>
        </w:numPr>
        <w:tabs>
          <w:tab w:val="clear" w:pos="540"/>
          <w:tab w:val="left" w:pos="720" w:leader="none"/>
        </w:tabs>
        <w:ind w:hanging="360" w:start="720" w:end="0"/>
        <w:rPr>
          <w:rFonts w:ascii="Times New Roman" w:hAnsi="Times New Roman" w:cs="Times New Roman"/>
        </w:rPr>
      </w:pPr>
      <w:r>
        <w:rPr>
          <w:rFonts w:cs="Times New Roman" w:ascii="Times New Roman" w:hAnsi="Times New Roman"/>
        </w:rPr>
        <w:t>Kinder-Morgan technical conference scheduled for November 1.</w:t>
      </w:r>
    </w:p>
    <w:p>
      <w:pPr>
        <w:pStyle w:val="Normal"/>
        <w:numPr>
          <w:ilvl w:val="0"/>
          <w:numId w:val="12"/>
        </w:numPr>
        <w:tabs>
          <w:tab w:val="clear" w:pos="540"/>
          <w:tab w:val="left" w:pos="720" w:leader="none"/>
        </w:tabs>
        <w:ind w:hanging="360" w:start="720" w:end="0"/>
        <w:rPr>
          <w:rFonts w:ascii="Times New Roman" w:hAnsi="Times New Roman" w:cs="Times New Roman"/>
        </w:rPr>
      </w:pPr>
      <w:r>
        <w:rPr>
          <w:rFonts w:cs="Times New Roman" w:ascii="Times New Roman" w:hAnsi="Times New Roman"/>
        </w:rPr>
        <w:t>Columbia Gas second technical conference scheduled for October 17.</w:t>
      </w:r>
    </w:p>
    <w:p>
      <w:pPr>
        <w:pStyle w:val="Normal"/>
        <w:numPr>
          <w:ilvl w:val="0"/>
          <w:numId w:val="12"/>
        </w:numPr>
        <w:tabs>
          <w:tab w:val="clear" w:pos="540"/>
          <w:tab w:val="left" w:pos="720" w:leader="none"/>
        </w:tabs>
        <w:ind w:hanging="360" w:start="720" w:end="0"/>
        <w:rPr>
          <w:rFonts w:ascii="Times New Roman" w:hAnsi="Times New Roman" w:cs="Times New Roman"/>
        </w:rPr>
      </w:pPr>
      <w:r>
        <w:rPr>
          <w:rFonts w:cs="Times New Roman" w:ascii="Times New Roman" w:hAnsi="Times New Roman"/>
        </w:rPr>
        <w:t xml:space="preserve">Tennessee Gas technical conference scheduled for November 14. </w:t>
      </w:r>
    </w:p>
    <w:p>
      <w:pPr>
        <w:pStyle w:val="ListBullet"/>
        <w:numPr>
          <w:ilvl w:val="0"/>
          <w:numId w:val="0"/>
        </w:numPr>
        <w:ind w:hanging="0" w:start="0"/>
        <w:rPr>
          <w:rFonts w:ascii="Times New Roman" w:hAnsi="Times New Roman" w:cs="Times New Roman"/>
        </w:rPr>
      </w:pPr>
      <w:r>
        <w:rPr>
          <w:rFonts w:cs="Times New Roman" w:ascii="Times New Roman" w:hAnsi="Times New Roman"/>
        </w:rPr>
      </w:r>
    </w:p>
    <w:p>
      <w:pPr>
        <w:pStyle w:val="Normal"/>
        <w:tabs>
          <w:tab w:val="clear" w:pos="540"/>
        </w:tabs>
        <w:jc w:val="center"/>
        <w:rPr>
          <w:rFonts w:ascii="Times New Roman" w:hAnsi="Times New Roman" w:cs="Times New Roman"/>
          <w:b/>
        </w:rPr>
      </w:pPr>
      <w:r>
        <w:rPr>
          <w:rFonts w:cs="Times New Roman" w:ascii="Times New Roman" w:hAnsi="Times New Roman"/>
          <w:b/>
        </w:rPr>
        <w:t>ETS-RELATED FERC ORDERS AND FILINGS</w:t>
      </w:r>
    </w:p>
    <w:p>
      <w:pPr>
        <w:pStyle w:val="Normal"/>
        <w:tabs>
          <w:tab w:val="clear" w:pos="540"/>
        </w:tabs>
        <w:ind w:start="360" w:end="0"/>
        <w:rPr>
          <w:rFonts w:ascii="Times New Roman" w:hAnsi="Times New Roman" w:cs="Times New Roman"/>
        </w:rPr>
      </w:pPr>
      <w:r>
        <w:rPr>
          <w:rFonts w:cs="Times New Roman" w:ascii="Times New Roman" w:hAnsi="Times New Roman"/>
        </w:rPr>
        <w:t xml:space="preserve"> </w:t>
      </w:r>
    </w:p>
    <w:p>
      <w:pPr>
        <w:pStyle w:val="Normal"/>
        <w:numPr>
          <w:ilvl w:val="0"/>
          <w:numId w:val="11"/>
        </w:numPr>
        <w:tabs>
          <w:tab w:val="clear" w:pos="540"/>
        </w:tabs>
        <w:rPr>
          <w:rFonts w:ascii="Times New Roman" w:hAnsi="Times New Roman" w:cs="Times New Roman"/>
          <w:b/>
        </w:rPr>
      </w:pPr>
      <w:r>
        <w:rPr>
          <w:rFonts w:cs="Times New Roman" w:ascii="Times New Roman" w:hAnsi="Times New Roman"/>
          <w:b/>
        </w:rPr>
        <w:t>Florida Gas</w:t>
      </w:r>
    </w:p>
    <w:p>
      <w:pPr>
        <w:pStyle w:val="Normal"/>
        <w:numPr>
          <w:ilvl w:val="0"/>
          <w:numId w:val="13"/>
        </w:numPr>
        <w:tabs>
          <w:tab w:val="clear" w:pos="540"/>
        </w:tabs>
        <w:rPr>
          <w:rFonts w:ascii="Times New Roman" w:hAnsi="Times New Roman" w:cs="Times New Roman"/>
          <w:b/>
        </w:rPr>
      </w:pPr>
      <w:r>
        <w:rPr>
          <w:rFonts w:cs="Times New Roman" w:ascii="Times New Roman" w:hAnsi="Times New Roman"/>
        </w:rPr>
        <w:t>Southern Company dropped its protest of the “within the path” secondary point allocation in the FGT 637 proceeding.</w:t>
      </w:r>
    </w:p>
    <w:p>
      <w:pPr>
        <w:pStyle w:val="Normal"/>
        <w:numPr>
          <w:ilvl w:val="0"/>
          <w:numId w:val="13"/>
        </w:numPr>
        <w:tabs>
          <w:tab w:val="clear" w:pos="540"/>
        </w:tabs>
        <w:rPr>
          <w:rFonts w:ascii="Times New Roman" w:hAnsi="Times New Roman" w:cs="Times New Roman"/>
          <w:b/>
        </w:rPr>
      </w:pPr>
      <w:r>
        <w:rPr>
          <w:rFonts w:cs="Times New Roman" w:ascii="Times New Roman" w:hAnsi="Times New Roman"/>
        </w:rPr>
        <w:t>Accepted tariff sheets increasing minimum tolerance levels, RP00-552.</w:t>
      </w:r>
    </w:p>
    <w:p>
      <w:pPr>
        <w:pStyle w:val="Normal"/>
        <w:numPr>
          <w:ilvl w:val="0"/>
          <w:numId w:val="7"/>
        </w:numPr>
        <w:rPr>
          <w:rFonts w:ascii="Times New Roman" w:hAnsi="Times New Roman" w:cs="Times New Roman"/>
          <w:b/>
        </w:rPr>
      </w:pPr>
      <w:r>
        <w:rPr>
          <w:rFonts w:cs="Times New Roman" w:ascii="Times New Roman" w:hAnsi="Times New Roman"/>
          <w:b/>
        </w:rPr>
        <w:t>Northern Border</w:t>
      </w:r>
    </w:p>
    <w:p>
      <w:pPr>
        <w:pStyle w:val="Normal"/>
        <w:numPr>
          <w:ilvl w:val="0"/>
          <w:numId w:val="8"/>
        </w:numPr>
        <w:tabs>
          <w:tab w:val="clear" w:pos="540"/>
        </w:tabs>
        <w:rPr>
          <w:rFonts w:ascii="Times New Roman" w:hAnsi="Times New Roman" w:cs="Times New Roman"/>
          <w:b/>
        </w:rPr>
      </w:pPr>
      <w:r>
        <w:rPr>
          <w:rFonts w:cs="Times New Roman" w:ascii="Times New Roman" w:hAnsi="Times New Roman"/>
        </w:rPr>
        <w:t xml:space="preserve">NBPL filed its rate case settlement </w:t>
      </w:r>
    </w:p>
    <w:p>
      <w:pPr>
        <w:pStyle w:val="Normal"/>
        <w:numPr>
          <w:ilvl w:val="0"/>
          <w:numId w:val="6"/>
        </w:numPr>
        <w:tabs>
          <w:tab w:val="clear" w:pos="540"/>
        </w:tabs>
        <w:rPr>
          <w:rFonts w:ascii="Times New Roman" w:hAnsi="Times New Roman" w:cs="Times New Roman"/>
          <w:b/>
        </w:rPr>
      </w:pPr>
      <w:r>
        <w:rPr>
          <w:rFonts w:cs="Times New Roman" w:ascii="Times New Roman" w:hAnsi="Times New Roman"/>
          <w:b/>
        </w:rPr>
        <w:t>Northern Natural</w:t>
      </w:r>
    </w:p>
    <w:p>
      <w:pPr>
        <w:pStyle w:val="Normal"/>
        <w:numPr>
          <w:ilvl w:val="0"/>
          <w:numId w:val="23"/>
        </w:numPr>
        <w:tabs>
          <w:tab w:val="clear" w:pos="540"/>
        </w:tabs>
        <w:jc w:val="both"/>
        <w:rPr>
          <w:rFonts w:ascii="Times New Roman" w:hAnsi="Times New Roman" w:cs="Times New Roman"/>
        </w:rPr>
      </w:pPr>
      <w:r>
        <w:rPr>
          <w:rFonts w:cs="Times New Roman" w:ascii="Times New Roman" w:hAnsi="Times New Roman"/>
        </w:rPr>
        <w:t>Noticed sheets implementing negotiated rate with WPS Energy Services, RP96-272</w:t>
      </w:r>
    </w:p>
    <w:p>
      <w:pPr>
        <w:pStyle w:val="Normal"/>
        <w:numPr>
          <w:ilvl w:val="0"/>
          <w:numId w:val="2"/>
        </w:numPr>
        <w:tabs>
          <w:tab w:val="clear" w:pos="540"/>
        </w:tabs>
        <w:rPr>
          <w:rFonts w:ascii="Times New Roman" w:hAnsi="Times New Roman" w:cs="Times New Roman"/>
          <w:b/>
        </w:rPr>
      </w:pPr>
      <w:r>
        <w:rPr>
          <w:rFonts w:cs="Times New Roman" w:ascii="Times New Roman" w:hAnsi="Times New Roman"/>
          <w:b/>
        </w:rPr>
        <w:t>Transwestern</w:t>
      </w:r>
    </w:p>
    <w:p>
      <w:pPr>
        <w:pStyle w:val="Normal"/>
        <w:numPr>
          <w:ilvl w:val="0"/>
          <w:numId w:val="17"/>
        </w:numPr>
        <w:tabs>
          <w:tab w:val="clear" w:pos="540"/>
        </w:tabs>
        <w:rPr>
          <w:rFonts w:ascii="Times New Roman" w:hAnsi="Times New Roman" w:cs="Times New Roman"/>
        </w:rPr>
      </w:pPr>
      <w:r>
        <w:rPr>
          <w:rFonts w:cs="Times New Roman" w:ascii="Times New Roman" w:hAnsi="Times New Roman"/>
        </w:rPr>
        <w:t>Noticed filing of calculations used in determining adjustments to the Settlement Base Rates to be effective November 1, 2000, RP00-581.</w:t>
      </w:r>
    </w:p>
    <w:p>
      <w:pPr>
        <w:pStyle w:val="Normal"/>
        <w:numPr>
          <w:ilvl w:val="0"/>
          <w:numId w:val="17"/>
        </w:numPr>
        <w:tabs>
          <w:tab w:val="clear" w:pos="540"/>
        </w:tabs>
        <w:rPr>
          <w:rFonts w:ascii="Times New Roman" w:hAnsi="Times New Roman" w:cs="Times New Roman"/>
        </w:rPr>
      </w:pPr>
      <w:r>
        <w:rPr>
          <w:rFonts w:cs="Times New Roman" w:ascii="Times New Roman" w:hAnsi="Times New Roman"/>
        </w:rPr>
        <w:t>Noticed filing of new TCR II reservation surcharges effective Nov. 1, 2000, RP00-578.</w:t>
      </w:r>
    </w:p>
    <w:p>
      <w:pPr>
        <w:pStyle w:val="Normal"/>
        <w:numPr>
          <w:ilvl w:val="0"/>
          <w:numId w:val="17"/>
        </w:numPr>
        <w:tabs>
          <w:tab w:val="clear" w:pos="540"/>
        </w:tabs>
        <w:rPr>
          <w:rFonts w:ascii="Times New Roman" w:hAnsi="Times New Roman" w:cs="Times New Roman"/>
        </w:rPr>
      </w:pPr>
      <w:r>
        <w:rPr>
          <w:rFonts w:cs="Times New Roman" w:ascii="Times New Roman" w:hAnsi="Times New Roman"/>
        </w:rPr>
        <w:t>Noticed compliance filing, RP00-249 limiting acquisition of capacity on Public Service Company of New Mexico and repackage such capacity only as firm during non-peak period</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tabs>
          <w:tab w:val="clear" w:pos="540"/>
        </w:tabs>
        <w:jc w:val="center"/>
        <w:rPr>
          <w:rFonts w:ascii="Times New Roman" w:hAnsi="Times New Roman" w:cs="Times New Roman"/>
          <w:b/>
        </w:rPr>
      </w:pPr>
      <w:r>
        <w:rPr>
          <w:rFonts w:cs="Times New Roman" w:ascii="Times New Roman" w:hAnsi="Times New Roman"/>
          <w:b/>
        </w:rPr>
        <w:t>SPECIFIC FERC CASES</w:t>
      </w:r>
    </w:p>
    <w:p>
      <w:pPr>
        <w:pStyle w:val="Normal"/>
        <w:tabs>
          <w:tab w:val="clear" w:pos="540"/>
        </w:tabs>
        <w:jc w:val="center"/>
        <w:rPr>
          <w:rFonts w:ascii="Times New Roman" w:hAnsi="Times New Roman" w:cs="Times New Roman"/>
          <w:b/>
        </w:rPr>
      </w:pPr>
      <w:r>
        <w:rPr>
          <w:rFonts w:cs="Times New Roman" w:ascii="Times New Roman" w:hAnsi="Times New Roman"/>
          <w:b/>
        </w:rPr>
      </w:r>
    </w:p>
    <w:p>
      <w:pPr>
        <w:pStyle w:val="Normal"/>
        <w:numPr>
          <w:ilvl w:val="0"/>
          <w:numId w:val="24"/>
        </w:numPr>
        <w:tabs>
          <w:tab w:val="clear" w:pos="540"/>
        </w:tabs>
        <w:rPr>
          <w:rFonts w:ascii="Times New Roman" w:hAnsi="Times New Roman" w:cs="Times New Roman"/>
        </w:rPr>
      </w:pPr>
      <w:r>
        <w:rPr>
          <w:rFonts w:cs="Times New Roman" w:ascii="Times New Roman" w:hAnsi="Times New Roman"/>
          <w:b/>
        </w:rPr>
        <w:t xml:space="preserve">Independence Pipeline Order Provides Definition of  "Binding" As Relates to Precedent Agreements, CP97-315.  </w:t>
      </w:r>
      <w:r>
        <w:rPr>
          <w:rFonts w:cs="Times New Roman" w:ascii="Times New Roman" w:hAnsi="Times New Roman"/>
        </w:rPr>
        <w:t xml:space="preserve">In an order issued September 28, FERC reiterates its finding of July 12 order that determined the sufficiency of evidence to support the Independence Project.  On rehearing, Parties challenged the validity of Independence's precedent agreements despite FERC imposing a 35% capacity requirement with non-affiliated shippers on Independence, rather than the 25%. In this order FERC denies that "market out" clauses in precedent agreements negate the binding nature of the agreement. Rather, FERC believes precedent agreements indicate interest. Firm contracts must be executed once the certificate is granted.  </w:t>
      </w:r>
    </w:p>
    <w:p>
      <w:pPr>
        <w:pStyle w:val="Normal"/>
        <w:tabs>
          <w:tab w:val="clear" w:pos="540"/>
        </w:tabs>
        <w:jc w:val="center"/>
        <w:rPr>
          <w:rFonts w:ascii="Times New Roman" w:hAnsi="Times New Roman" w:cs="Times New Roman"/>
          <w:b/>
        </w:rPr>
      </w:pPr>
      <w:r>
        <w:rPr>
          <w:rFonts w:cs="Times New Roman" w:ascii="Times New Roman" w:hAnsi="Times New Roman"/>
          <w:b/>
        </w:rPr>
      </w:r>
    </w:p>
    <w:p>
      <w:pPr>
        <w:pStyle w:val="Normal"/>
        <w:numPr>
          <w:ilvl w:val="0"/>
          <w:numId w:val="24"/>
        </w:numPr>
        <w:tabs>
          <w:tab w:val="clear" w:pos="540"/>
        </w:tabs>
        <w:rPr>
          <w:rFonts w:ascii="Times New Roman" w:hAnsi="Times New Roman" w:cs="Times New Roman"/>
        </w:rPr>
      </w:pPr>
      <w:r>
        <w:rPr>
          <w:rFonts w:cs="Times New Roman" w:ascii="Times New Roman" w:hAnsi="Times New Roman"/>
          <w:b/>
        </w:rPr>
        <w:t xml:space="preserve">Vector Files New Park and Loan, Title Transfer Tracking and Management Balance Service, RP00-586.  </w:t>
      </w:r>
      <w:r>
        <w:rPr>
          <w:rFonts w:cs="Times New Roman" w:ascii="Times New Roman" w:hAnsi="Times New Roman"/>
        </w:rPr>
        <w:t>Vector filed its proposed three new services on September 29.  Vector is offering the new services to deal with shipper imbalances in lieu of penalties; will permit shippers to use Vector as a trading mart; and will allow shippers to contract with a third party for balancing with Vector managing the balancing on behalf of the balancing provider.  The balancing customer may vary its takes on an hourly basis and the balancing provider must be able to provide gas on a firm basis.</w:t>
      </w:r>
    </w:p>
    <w:p>
      <w:pPr>
        <w:pStyle w:val="Normal"/>
        <w:tabs>
          <w:tab w:val="clear" w:pos="540"/>
        </w:tabs>
        <w:rPr>
          <w:rFonts w:ascii="Times New Roman" w:hAnsi="Times New Roman" w:cs="Times New Roman"/>
        </w:rPr>
      </w:pPr>
      <w:r>
        <w:rPr>
          <w:rFonts w:cs="Times New Roman" w:ascii="Times New Roman" w:hAnsi="Times New Roman"/>
        </w:rPr>
      </w:r>
    </w:p>
    <w:p>
      <w:pPr>
        <w:pStyle w:val="Normal"/>
        <w:numPr>
          <w:ilvl w:val="0"/>
          <w:numId w:val="20"/>
        </w:numPr>
        <w:tabs>
          <w:tab w:val="clear" w:pos="540"/>
        </w:tabs>
        <w:rPr>
          <w:rFonts w:ascii="Times New Roman" w:hAnsi="Times New Roman" w:cs="Times New Roman"/>
          <w:b/>
        </w:rPr>
      </w:pPr>
      <w:r>
        <w:rPr>
          <w:rFonts w:cs="Times New Roman" w:ascii="Times New Roman" w:hAnsi="Times New Roman"/>
          <w:b/>
        </w:rPr>
        <w:t xml:space="preserve">Tennessee Gas Files for Authorization to Increase MAOP, CP00-469.  </w:t>
      </w:r>
      <w:r>
        <w:rPr>
          <w:rFonts w:cs="Times New Roman" w:ascii="Times New Roman" w:hAnsi="Times New Roman"/>
        </w:rPr>
        <w:t>On September 21 Tennessee Gas filed a request for authorization to increase the maximum allowable operating pressure through an uprate of two laterals located in Texas.  Both laterals connect to Tennessee's parallel mainlines.</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numPr>
          <w:ilvl w:val="0"/>
          <w:numId w:val="24"/>
        </w:numPr>
        <w:tabs>
          <w:tab w:val="clear" w:pos="540"/>
        </w:tabs>
        <w:rPr>
          <w:rFonts w:ascii="Times New Roman" w:hAnsi="Times New Roman" w:cs="Times New Roman"/>
          <w:b/>
        </w:rPr>
      </w:pPr>
      <w:r>
        <w:rPr>
          <w:rFonts w:cs="Times New Roman" w:ascii="Times New Roman" w:hAnsi="Times New Roman"/>
          <w:b/>
        </w:rPr>
        <w:t xml:space="preserve">National Fuel Order Grants Replacement of Deteriorated Pipelines, CP00-91.  </w:t>
      </w:r>
      <w:r>
        <w:rPr>
          <w:rFonts w:cs="Times New Roman" w:ascii="Times New Roman" w:hAnsi="Times New Roman"/>
        </w:rPr>
        <w:t xml:space="preserve">In an order issued September 29, FERC grants National Fuel the authorization to replace deteriorated facilities in Pennsylvania.  FERC is permitting additional firm service to National Fuel Gas Distribution; rolled-in rates; and waiver of its EFT Rate Schedule (that limits obligations to deliver gas to any combination of delivery points to the MDTQ and limits its aggregate receipt obligation to the sum of the MDTQ and the applicable fuel and loss allowance) with a new delivery point and a new receipt point to be added. National Fuel estimates the cost of the expansion to be $11.4 million. </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numPr>
          <w:ilvl w:val="0"/>
          <w:numId w:val="24"/>
        </w:numPr>
        <w:tabs>
          <w:tab w:val="clear" w:pos="540"/>
        </w:tabs>
        <w:rPr>
          <w:rFonts w:ascii="Times New Roman" w:hAnsi="Times New Roman" w:cs="Times New Roman"/>
        </w:rPr>
      </w:pPr>
      <w:r>
        <w:rPr>
          <w:rFonts w:cs="Times New Roman" w:ascii="Times New Roman" w:hAnsi="Times New Roman"/>
          <w:b/>
        </w:rPr>
        <w:t xml:space="preserve">Transcontinental Preliminary Determination on Non-Environmental Issues Released, CP00-165.  </w:t>
      </w:r>
      <w:r>
        <w:rPr>
          <w:rFonts w:cs="Times New Roman" w:ascii="Times New Roman" w:hAnsi="Times New Roman"/>
        </w:rPr>
        <w:t xml:space="preserve">In an order issued September 29, FERC issues a PD pending the environmental review on Transco's Sundance Expansion Project located in Mississippi, Alabama and North Carolina.  The Sundance Project will provide an additional 236,383 Dtht/d of new firm transportation capacity to serve increased market demand in the Southeast.  Transco intends to provide service to new electric generating plants to be constructed or the expansion of existing plants - existing customers will be unaffected. Transco proposes to charge incremental rates, will be separately stated and shippers will be charged any applicable charges or surcharges under its FT rate schedule.  Transco proposes to offer expansion shippers a choice at the time of executing a firm service agreement to either pay maximum recourse rates or to individually negotiate a monthly firm rate for the expansion capacity.  </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numPr>
          <w:ilvl w:val="0"/>
          <w:numId w:val="24"/>
        </w:numPr>
        <w:tabs>
          <w:tab w:val="clear" w:pos="540"/>
        </w:tabs>
        <w:rPr>
          <w:rFonts w:ascii="Times New Roman" w:hAnsi="Times New Roman" w:cs="Times New Roman"/>
          <w:b/>
        </w:rPr>
      </w:pPr>
      <w:r>
        <w:rPr>
          <w:rFonts w:cs="Times New Roman" w:ascii="Times New Roman" w:hAnsi="Times New Roman"/>
          <w:b/>
        </w:rPr>
        <w:t xml:space="preserve">ANR Order on Direct Bill Proposal, RP00-372.  </w:t>
      </w:r>
      <w:r>
        <w:rPr>
          <w:rFonts w:cs="Times New Roman" w:ascii="Times New Roman" w:hAnsi="Times New Roman"/>
        </w:rPr>
        <w:t xml:space="preserve">In June, ANR filed an Interest Recovery Plan to direct bill certain Part 284 shippers $1.8 million in interest charges paid by ANR to Great Lakes Gas according to a FERC order issued in Docket No. RP91-143 in July 1998.  ANR revised its plan to adjust the direct bill to a lesser amount paid to Great Lakes on August 18, 2000.  In this order, FERC conditionally accepts ANR's proposal.  Originally, FERC denied Great Lakes the right to collect interest from ANR and its other customers.  Following the second remand, FERC reversed its previous findings and permitted Great Lakes to recover the interest refunds, plus carrying charges.  Although the July 30,1998 order did not specifically address ANR's recovery of carrying charges on the interest payment, FERC finds that ANR should be compensated for the time value of money and made whole. ANR must absorb the share of the direct bill of any shipper whose discount agreement exempts it from the direct bill. </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numPr>
          <w:ilvl w:val="0"/>
          <w:numId w:val="24"/>
        </w:numPr>
        <w:tabs>
          <w:tab w:val="clear" w:pos="540"/>
        </w:tabs>
        <w:rPr>
          <w:rFonts w:ascii="Times New Roman" w:hAnsi="Times New Roman" w:cs="Times New Roman"/>
          <w:b/>
        </w:rPr>
      </w:pPr>
      <w:r>
        <w:rPr>
          <w:rFonts w:cs="Times New Roman" w:ascii="Times New Roman" w:hAnsi="Times New Roman"/>
          <w:b/>
        </w:rPr>
        <w:t xml:space="preserve">Reliant Energy Files Pro Forma Tariff Sheets to Implement New Flexible Nomination Process, RP00-571.  </w:t>
      </w:r>
      <w:r>
        <w:rPr>
          <w:rFonts w:cs="Times New Roman" w:ascii="Times New Roman" w:hAnsi="Times New Roman"/>
        </w:rPr>
        <w:t>Reliant intends the new service to give all shippers the option to submit receipt and delivery nominations to be effective at the top of the hour with at least sixty minutes notice.</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numPr>
          <w:ilvl w:val="0"/>
          <w:numId w:val="22"/>
        </w:numPr>
        <w:tabs>
          <w:tab w:val="clear" w:pos="540"/>
        </w:tabs>
        <w:rPr>
          <w:rFonts w:ascii="Times New Roman" w:hAnsi="Times New Roman" w:cs="Times New Roman"/>
          <w:b/>
        </w:rPr>
      </w:pPr>
      <w:r>
        <w:rPr>
          <w:rFonts w:cs="Times New Roman" w:ascii="Times New Roman" w:hAnsi="Times New Roman"/>
          <w:b/>
        </w:rPr>
        <w:t xml:space="preserve">Destin Files For Authorization to Construct Offshore Supply Lateral, CP00-472.  </w:t>
      </w:r>
      <w:r>
        <w:rPr>
          <w:rFonts w:cs="Times New Roman" w:ascii="Times New Roman" w:hAnsi="Times New Roman"/>
        </w:rPr>
        <w:t>On September 29, Destin filed an application to construct an offshore supply lateral line in the Viosca Knoll Area of the Gulf of Mexico.  The lateral line, known as "Pompano Project" will connect with the Pompano Platform in Viosca Knoll and to a subsea tie-in on the Destin pipeline in another Viosca Knoll Block.  The facilities will have the capability of transporting up to 200 million cubic feet of gas per day.  Destin estimates the cost of the project to be $13.8 million.</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numPr>
          <w:ilvl w:val="0"/>
          <w:numId w:val="3"/>
        </w:numPr>
        <w:tabs>
          <w:tab w:val="clear" w:pos="540"/>
        </w:tabs>
        <w:rPr>
          <w:rFonts w:ascii="Times New Roman" w:hAnsi="Times New Roman" w:cs="Times New Roman"/>
        </w:rPr>
      </w:pPr>
      <w:r>
        <w:rPr>
          <w:rFonts w:cs="Times New Roman" w:ascii="Times New Roman" w:hAnsi="Times New Roman"/>
          <w:b/>
        </w:rPr>
        <w:t xml:space="preserve">PG&amp;E Texas Pipeline Order Instituting Staff Panel Proceeding, PR00-9.  </w:t>
      </w:r>
      <w:r>
        <w:rPr>
          <w:rFonts w:cs="Times New Roman" w:ascii="Times New Roman" w:hAnsi="Times New Roman"/>
        </w:rPr>
        <w:t xml:space="preserve">In this rate case proceeding, FERC has not been able to determine whether PG&amp;E-Texas' rates are "fair and equitable" nor have PG&amp;E Texas or Southern Union Gas, as intervenor, been able to resolve disputed issues.  In this order, FERC is imposing a proceeding to establish a Staff Panel hearing.  Staff panels are advisory, non-evidentiary proceedings to allow parties to present views, data and arguments.  </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numPr>
          <w:ilvl w:val="0"/>
          <w:numId w:val="19"/>
        </w:numPr>
        <w:tabs>
          <w:tab w:val="clear" w:pos="540"/>
        </w:tabs>
        <w:rPr>
          <w:rFonts w:ascii="Times New Roman" w:hAnsi="Times New Roman" w:cs="Times New Roman"/>
        </w:rPr>
      </w:pPr>
      <w:r>
        <w:rPr>
          <w:rFonts w:cs="Times New Roman" w:ascii="Times New Roman" w:hAnsi="Times New Roman"/>
          <w:b/>
        </w:rPr>
        <w:t xml:space="preserve">Great Lakes and Ocean Energy Order Denies Rehearing, RP00-287.  </w:t>
      </w:r>
      <w:r>
        <w:rPr>
          <w:rFonts w:cs="Times New Roman" w:ascii="Times New Roman" w:hAnsi="Times New Roman"/>
        </w:rPr>
        <w:t>This case arose because Great Lakes gave notice to Ocean in February of ROFR conditions.  Ocean disagreed with Great Lakes' interpretation of Section 16, contending that its service agreement was for less than five years and it would not be required to notify Great Lakes of its intention to exercise its ROFR until November, rather than April as proposed by Great Lakes.  In March 1998, UMC Petroleum merged with Ocean resulting in a revised service agreement signed in 1998.  On rehearing, Ocean claims that the 1998 document is a new contract.  FERC disagrees and states that a name change does not change the obligation of Ocean for ROFR purposes.  FERC denied rehearing.</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tabs>
          <w:tab w:val="clear" w:pos="540"/>
        </w:tabs>
        <w:jc w:val="center"/>
        <w:rPr>
          <w:rFonts w:ascii="Times New Roman" w:hAnsi="Times New Roman" w:cs="Times New Roman"/>
          <w:b/>
        </w:rPr>
      </w:pPr>
      <w:r>
        <w:rPr>
          <w:rFonts w:cs="Times New Roman" w:ascii="Times New Roman" w:hAnsi="Times New Roman"/>
          <w:b/>
        </w:rPr>
        <w:t>COMPLAINT</w:t>
      </w:r>
    </w:p>
    <w:p>
      <w:pPr>
        <w:pStyle w:val="Normal"/>
        <w:tabs>
          <w:tab w:val="clear" w:pos="540"/>
        </w:tabs>
        <w:jc w:val="center"/>
        <w:rPr>
          <w:rFonts w:ascii="Times New Roman" w:hAnsi="Times New Roman" w:cs="Times New Roman"/>
          <w:b/>
        </w:rPr>
      </w:pPr>
      <w:r>
        <w:rPr>
          <w:rFonts w:cs="Times New Roman" w:ascii="Times New Roman" w:hAnsi="Times New Roman"/>
          <w:b/>
        </w:rPr>
      </w:r>
    </w:p>
    <w:p>
      <w:pPr>
        <w:pStyle w:val="Normal"/>
        <w:numPr>
          <w:ilvl w:val="0"/>
          <w:numId w:val="18"/>
        </w:numPr>
        <w:tabs>
          <w:tab w:val="clear" w:pos="540"/>
        </w:tabs>
        <w:rPr>
          <w:rFonts w:ascii="Times New Roman" w:hAnsi="Times New Roman" w:cs="Times New Roman"/>
        </w:rPr>
      </w:pPr>
      <w:r>
        <w:rPr>
          <w:rFonts w:cs="Times New Roman" w:ascii="Times New Roman" w:hAnsi="Times New Roman"/>
          <w:b/>
          <w:color w:val="FF0000"/>
        </w:rPr>
        <w:t>California Municipal Utilities Association Files Complaint and Requests Reinstatement of Cost-Based Rates.</w:t>
      </w:r>
      <w:r>
        <w:rPr>
          <w:rFonts w:cs="Times New Roman" w:ascii="Times New Roman" w:hAnsi="Times New Roman"/>
          <w:b/>
        </w:rPr>
        <w:t xml:space="preserve">  </w:t>
      </w:r>
      <w:r>
        <w:rPr>
          <w:rFonts w:cs="Times New Roman" w:ascii="Times New Roman" w:hAnsi="Times New Roman"/>
        </w:rPr>
        <w:t xml:space="preserve">Today the California Municipal Utilities Association filed a complaint with FERC against all jurisdictional sellers of energy, California ISO, and California PX for the unprecedented high wholesale power prices.  CMUA requests that FERC institute cost-based rates until such time as needed investments are made the California markets are workably competitive.  CMUA points out that the infrastructure necessary for a workable competitive market includes billions of dollars of investment in generation and transmission facilities.  There is no evidence that markets will ensure just and reasonable rates in the near future.  The only available remedy for FERC is the reinstatement of cost-of-service ratemaking for jurisdictional sellers until fundamental changes can be made and the markets are workable.  </w:t>
      </w:r>
    </w:p>
    <w:p>
      <w:pPr>
        <w:pStyle w:val="Normal"/>
        <w:tabs>
          <w:tab w:val="clear" w:pos="540"/>
        </w:tabs>
        <w:jc w:val="center"/>
        <w:rPr>
          <w:rFonts w:ascii="Times New Roman" w:hAnsi="Times New Roman" w:cs="Times New Roman"/>
          <w:b/>
        </w:rPr>
      </w:pPr>
      <w:r>
        <w:rPr>
          <w:rFonts w:cs="Times New Roman" w:ascii="Times New Roman" w:hAnsi="Times New Roman"/>
          <w:b/>
        </w:rPr>
      </w:r>
    </w:p>
    <w:p>
      <w:pPr>
        <w:pStyle w:val="Normal"/>
        <w:numPr>
          <w:ilvl w:val="0"/>
          <w:numId w:val="24"/>
        </w:numPr>
        <w:tabs>
          <w:tab w:val="clear" w:pos="540"/>
        </w:tabs>
        <w:rPr>
          <w:rFonts w:ascii="Times New Roman" w:hAnsi="Times New Roman" w:cs="Times New Roman"/>
          <w:b/>
        </w:rPr>
      </w:pPr>
      <w:r>
        <w:rPr>
          <w:rFonts w:cs="Times New Roman" w:ascii="Times New Roman" w:hAnsi="Times New Roman"/>
          <w:b/>
        </w:rPr>
        <w:t xml:space="preserve">SoCalGas v. El Paso Natural Gas, RP01-27. </w:t>
      </w:r>
      <w:r>
        <w:rPr>
          <w:rFonts w:cs="Times New Roman" w:ascii="Times New Roman" w:hAnsi="Times New Roman"/>
        </w:rPr>
        <w:t xml:space="preserve"> On October 4, Southern California Gas filed a Section 5 complaint against El Paso Natural Gas.  SoCalGas has requested fast track processing.  Specifically, SoCalGas wants FERC to issue an order:  1) determining that the SoCalGas/Topock delivery point is fully subscribed on a firm primary basis and was at the time of El Paso's open season in January, 2) direct El Paso to comply with FERC orders precluding selling firm primary capacity at points where none is available, and 3) direct El Paso to schedule capacity acquired during the open season and into the SoCalGas/Topock on a secondary basis only. </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numPr>
          <w:ilvl w:val="0"/>
          <w:numId w:val="24"/>
        </w:numPr>
        <w:tabs>
          <w:tab w:val="clear" w:pos="540"/>
        </w:tabs>
        <w:rPr>
          <w:rFonts w:ascii="Times New Roman" w:hAnsi="Times New Roman" w:cs="Times New Roman"/>
          <w:b/>
        </w:rPr>
      </w:pPr>
      <w:r>
        <w:rPr>
          <w:rFonts w:cs="Times New Roman" w:ascii="Times New Roman" w:hAnsi="Times New Roman"/>
          <w:b/>
        </w:rPr>
        <w:t xml:space="preserve">Supplemental Motion and Request for Sanctions Against El Paso, RP00-241.  </w:t>
      </w:r>
      <w:r>
        <w:rPr>
          <w:rFonts w:cs="Times New Roman" w:ascii="Times New Roman" w:hAnsi="Times New Roman"/>
        </w:rPr>
        <w:t xml:space="preserve">On October 4, SoCal Edison submitted a second supplemental motion to compel and requested FERC impose sanctions on El Paso Natural Gas, El Paso Merchant Energy Gas and El Paso Merchant Energy Company.  The motion suggests El Paso's "willful disregard" of FERC's September 15, 2000 order issuing a Protective Order in this proceeding. These proceedings are based on the Public Utilities Commission of the State of California complaint filed in April.  SCE has repeatedly attempted to obtain discovery responses that FERC ordered El Paso to provide to the CPUC.  Rather than complying with the order, El Paso has filed a request for rehearing of the September 15 and September 22 orders.  </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tabs>
          <w:tab w:val="clear" w:pos="540"/>
        </w:tabs>
        <w:jc w:val="center"/>
        <w:rPr>
          <w:rFonts w:ascii="Times New Roman" w:hAnsi="Times New Roman" w:cs="Times New Roman"/>
          <w:b/>
        </w:rPr>
      </w:pPr>
      <w:r>
        <w:rPr>
          <w:rFonts w:cs="Times New Roman" w:ascii="Times New Roman" w:hAnsi="Times New Roman"/>
          <w:b/>
        </w:rPr>
        <w:t>ELECTRIC MATTERS</w:t>
      </w:r>
    </w:p>
    <w:p>
      <w:pPr>
        <w:pStyle w:val="Normal"/>
        <w:tabs>
          <w:tab w:val="clear" w:pos="540"/>
        </w:tabs>
        <w:jc w:val="center"/>
        <w:rPr>
          <w:rFonts w:ascii="Times New Roman" w:hAnsi="Times New Roman" w:cs="Times New Roman"/>
          <w:b/>
        </w:rPr>
      </w:pPr>
      <w:r>
        <w:rPr>
          <w:rFonts w:cs="Times New Roman" w:ascii="Times New Roman" w:hAnsi="Times New Roman"/>
          <w:b/>
        </w:rPr>
      </w:r>
    </w:p>
    <w:p>
      <w:pPr>
        <w:pStyle w:val="Normal"/>
        <w:numPr>
          <w:ilvl w:val="0"/>
          <w:numId w:val="5"/>
        </w:numPr>
        <w:tabs>
          <w:tab w:val="clear" w:pos="540"/>
        </w:tabs>
        <w:rPr>
          <w:rFonts w:ascii="Times New Roman" w:hAnsi="Times New Roman" w:cs="Times New Roman"/>
        </w:rPr>
      </w:pPr>
      <w:r>
        <w:rPr>
          <w:rFonts w:cs="Times New Roman" w:ascii="Times New Roman" w:hAnsi="Times New Roman"/>
          <w:b/>
        </w:rPr>
        <w:t>Pacific Gas &amp; Electric</w:t>
      </w:r>
      <w:r>
        <w:rPr>
          <w:rFonts w:cs="Times New Roman" w:ascii="Times New Roman" w:hAnsi="Times New Roman"/>
        </w:rPr>
        <w:t xml:space="preserve"> filed an emergency petition asking the California PUC to pass on to consumers at least $2 billion in extraordinary electricity costs the utility paid this summer.  This action followed a summer in which PG&amp;E and two other investor-owned utilities racked up at least $5 billion in undercollections.  PG&amp;E said that it has paid an average of $1 million every hour, 24 hours per day that it has not been allowed to recoup under a 1996 rate freeze.  </w:t>
      </w:r>
    </w:p>
    <w:p>
      <w:pPr>
        <w:pStyle w:val="Normal"/>
        <w:tabs>
          <w:tab w:val="clear" w:pos="540"/>
        </w:tabs>
        <w:rPr>
          <w:rFonts w:ascii="Times New Roman" w:hAnsi="Times New Roman" w:cs="Times New Roman"/>
        </w:rPr>
      </w:pPr>
      <w:r>
        <w:rPr>
          <w:rFonts w:cs="Times New Roman" w:ascii="Times New Roman" w:hAnsi="Times New Roman"/>
        </w:rPr>
      </w:r>
    </w:p>
    <w:p>
      <w:pPr>
        <w:pStyle w:val="Normal"/>
        <w:numPr>
          <w:ilvl w:val="0"/>
          <w:numId w:val="5"/>
        </w:numPr>
        <w:tabs>
          <w:tab w:val="clear" w:pos="540"/>
        </w:tabs>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b/>
        </w:rPr>
        <w:t>Southern California Edison Files Emergency Petition</w:t>
      </w:r>
      <w:r>
        <w:rPr>
          <w:rFonts w:cs="Times New Roman" w:ascii="Times New Roman" w:hAnsi="Times New Roman"/>
        </w:rPr>
        <w:t>.</w:t>
      </w:r>
      <w:r>
        <w:rPr>
          <w:rFonts w:cs="Times New Roman" w:ascii="Times New Roman" w:hAnsi="Times New Roman"/>
          <w:b/>
        </w:rPr>
        <w:t xml:space="preserve">  </w:t>
      </w:r>
      <w:r>
        <w:rPr>
          <w:rFonts w:cs="Times New Roman" w:ascii="Times New Roman" w:hAnsi="Times New Roman"/>
        </w:rPr>
        <w:t xml:space="preserve">As with PG&amp;E (above) Edison filed an emergency petition with state regulators late Wednesday asking for the authority to recover $1.9 billion in unpaid power costs from rate payers.    </w:t>
      </w:r>
    </w:p>
    <w:p>
      <w:pPr>
        <w:pStyle w:val="Normal"/>
        <w:tabs>
          <w:tab w:val="clear" w:pos="540"/>
        </w:tabs>
        <w:rPr>
          <w:rFonts w:ascii="Times New Roman" w:hAnsi="Times New Roman" w:cs="Times New Roman"/>
        </w:rPr>
      </w:pPr>
      <w:r>
        <w:rPr>
          <w:rFonts w:cs="Times New Roman" w:ascii="Times New Roman" w:hAnsi="Times New Roman"/>
        </w:rPr>
      </w:r>
    </w:p>
    <w:p>
      <w:pPr>
        <w:pStyle w:val="Normal"/>
        <w:numPr>
          <w:ilvl w:val="0"/>
          <w:numId w:val="4"/>
        </w:numPr>
        <w:tabs>
          <w:tab w:val="clear" w:pos="540"/>
        </w:tabs>
        <w:rPr>
          <w:rFonts w:ascii="Times New Roman" w:hAnsi="Times New Roman" w:cs="Times New Roman"/>
          <w:b/>
        </w:rPr>
      </w:pPr>
      <w:r>
        <w:rPr>
          <w:rFonts w:cs="Times New Roman" w:ascii="Times New Roman" w:hAnsi="Times New Roman"/>
          <w:b/>
        </w:rPr>
        <w:t xml:space="preserve">PG&amp;E, SoCal Edison and California Consumer Group Seeks Reduction in ISO Price Cap.  </w:t>
      </w:r>
      <w:r>
        <w:rPr>
          <w:rFonts w:cs="Times New Roman" w:ascii="Times New Roman" w:hAnsi="Times New Roman"/>
        </w:rPr>
        <w:t xml:space="preserve">Company officials appeared before the state's ISO board of governors meeting Wednesday requesting that the price cap in the real-time market by immediately reduced to $100 a megawatt-hour from $250. The ISO did not support such a measure, having reduced the cap twice this summer. PG&amp;E is expected to file with FERC later this month seeking a temporary return to cost-based rates in order to keep its debt from increasing.  </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numPr>
          <w:ilvl w:val="0"/>
          <w:numId w:val="10"/>
        </w:numPr>
        <w:tabs>
          <w:tab w:val="clear" w:pos="540"/>
        </w:tabs>
        <w:rPr>
          <w:rFonts w:ascii="Times New Roman" w:hAnsi="Times New Roman" w:cs="Times New Roman"/>
        </w:rPr>
      </w:pPr>
      <w:r>
        <w:rPr>
          <w:rFonts w:cs="Times New Roman" w:ascii="Times New Roman" w:hAnsi="Times New Roman"/>
          <w:b/>
        </w:rPr>
        <w:t>Minnesota Officials to Hold Hearings on Energy Policy.</w:t>
      </w:r>
      <w:r>
        <w:rPr>
          <w:rFonts w:cs="Times New Roman" w:ascii="Times New Roman" w:hAnsi="Times New Roman"/>
        </w:rPr>
        <w:t xml:space="preserve">  Minnesota is crafting a plan in hopes that its legislature will make it policy proposing gradual changes with the intent of fostering greater investment in the power industry.  Minnesota is pointing to California as an example of what can happen when states deregulate without careful infrastructure.  No major power plants have been built in Minnesota since the late 1980s.  The plan is to take a measured approach to increase the state's supply of electricity and entice new investment dollars into Minnesota.</w:t>
      </w:r>
    </w:p>
    <w:p>
      <w:pPr>
        <w:pStyle w:val="Normal"/>
        <w:tabs>
          <w:tab w:val="clear" w:pos="540"/>
        </w:tabs>
        <w:rPr>
          <w:rFonts w:ascii="Times New Roman" w:hAnsi="Times New Roman" w:cs="Times New Roman"/>
        </w:rPr>
      </w:pPr>
      <w:r>
        <w:rPr>
          <w:rFonts w:cs="Times New Roman" w:ascii="Times New Roman" w:hAnsi="Times New Roman"/>
        </w:rPr>
      </w:r>
    </w:p>
    <w:p>
      <w:pPr>
        <w:pStyle w:val="Normal"/>
        <w:numPr>
          <w:ilvl w:val="0"/>
          <w:numId w:val="16"/>
        </w:numPr>
        <w:tabs>
          <w:tab w:val="clear" w:pos="540"/>
        </w:tabs>
        <w:rPr>
          <w:rFonts w:ascii="Times New Roman" w:hAnsi="Times New Roman" w:cs="Times New Roman"/>
          <w:b/>
        </w:rPr>
      </w:pPr>
      <w:r>
        <w:rPr>
          <w:rFonts w:cs="Times New Roman" w:ascii="Times New Roman" w:hAnsi="Times New Roman"/>
          <w:b/>
        </w:rPr>
        <w:t xml:space="preserve">ConEd Merger With Northeast Utilities Approved.  </w:t>
      </w:r>
      <w:r>
        <w:rPr>
          <w:rFonts w:cs="Times New Roman" w:ascii="Times New Roman" w:hAnsi="Times New Roman"/>
        </w:rPr>
        <w:t xml:space="preserve">On October 3, the Public Service Commission approved the merger with Northeast Utilities.  Con Ed will become the largest utility in that nation once the merger is made final with 5 million customers stretching from New York to the Canadian border.  </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numPr>
          <w:ilvl w:val="0"/>
          <w:numId w:val="14"/>
        </w:numPr>
        <w:tabs>
          <w:tab w:val="clear" w:pos="540"/>
        </w:tabs>
        <w:rPr>
          <w:rFonts w:ascii="Times New Roman" w:hAnsi="Times New Roman" w:cs="Times New Roman"/>
          <w:b/>
        </w:rPr>
      </w:pPr>
      <w:r>
        <w:rPr>
          <w:rFonts w:cs="Times New Roman" w:ascii="Times New Roman" w:hAnsi="Times New Roman"/>
          <w:b/>
        </w:rPr>
        <w:t>Arkansas Public Service Commission Recommending Delay in Lifting Regulations.</w:t>
      </w:r>
      <w:r>
        <w:rPr>
          <w:rFonts w:cs="Times New Roman" w:ascii="Times New Roman" w:hAnsi="Times New Roman"/>
        </w:rPr>
        <w:t xml:space="preserve">  Citing steep hikes in consumer bills where electric utilities have been deregulated, the Arkansas Public Service Commission is recommending a delay in lifting regulations from state utilities.  In a report Friday, the PSC recommended a delay of at least 18 months to open the state's $2.4 billion electric market and some are recommending a delay until 2005.  The skyrocketing price increases in California prompted calls for the delay.  </w:t>
      </w:r>
    </w:p>
    <w:p>
      <w:pPr>
        <w:pStyle w:val="Normal"/>
        <w:tabs>
          <w:tab w:val="clear" w:pos="540"/>
        </w:tabs>
        <w:jc w:val="center"/>
        <w:rPr>
          <w:rFonts w:ascii="Times New Roman" w:hAnsi="Times New Roman" w:cs="Times New Roman"/>
          <w:b/>
        </w:rPr>
      </w:pPr>
      <w:r>
        <w:rPr>
          <w:rFonts w:cs="Times New Roman" w:ascii="Times New Roman" w:hAnsi="Times New Roman"/>
          <w:b/>
        </w:rPr>
      </w:r>
    </w:p>
    <w:p>
      <w:pPr>
        <w:pStyle w:val="Normal"/>
        <w:tabs>
          <w:tab w:val="clear" w:pos="540"/>
        </w:tabs>
        <w:jc w:val="center"/>
        <w:rPr>
          <w:rFonts w:ascii="Times New Roman" w:hAnsi="Times New Roman" w:cs="Times New Roman"/>
          <w:b/>
        </w:rPr>
      </w:pPr>
      <w:r>
        <w:rPr>
          <w:rFonts w:cs="Times New Roman" w:ascii="Times New Roman" w:hAnsi="Times New Roman"/>
          <w:b/>
        </w:rPr>
        <w:t>INDUSTRY MATTERS</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numPr>
          <w:ilvl w:val="0"/>
          <w:numId w:val="9"/>
        </w:numPr>
        <w:tabs>
          <w:tab w:val="clear" w:pos="540"/>
        </w:tabs>
        <w:rPr>
          <w:rFonts w:ascii="Times New Roman" w:hAnsi="Times New Roman" w:cs="Times New Roman"/>
          <w:b/>
        </w:rPr>
      </w:pPr>
      <w:r>
        <w:rPr>
          <w:rFonts w:cs="Times New Roman" w:ascii="Times New Roman" w:hAnsi="Times New Roman"/>
          <w:b/>
        </w:rPr>
        <w:t xml:space="preserve">Reliant Energy Seeks 10.5 Percent Rate Increase for Natural Gas.  </w:t>
      </w:r>
      <w:r>
        <w:rPr>
          <w:rFonts w:cs="Times New Roman" w:ascii="Times New Roman" w:hAnsi="Times New Roman"/>
        </w:rPr>
        <w:t xml:space="preserve">Tuesday, Reliant asked state regulators to allow it to raise customers' bills by 10.5 percent to pass on higher natural gas prices, less than two months after the Houston electric utility reached a settlement with the city of Houston, regulators, large customers and consumer advocates to boost bills by 12 percent to pass on increasing fuel costs.  </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numPr>
          <w:ilvl w:val="0"/>
          <w:numId w:val="24"/>
        </w:numPr>
        <w:rPr>
          <w:rFonts w:ascii="Times New Roman" w:hAnsi="Times New Roman" w:cs="Times New Roman"/>
        </w:rPr>
      </w:pPr>
      <w:r>
        <w:rPr>
          <w:rFonts w:cs="Times New Roman" w:ascii="Times New Roman" w:hAnsi="Times New Roman"/>
          <w:b/>
          <w:color w:val="000000"/>
        </w:rPr>
        <w:t xml:space="preserve">Natural Gas RD&amp;D Funding.  </w:t>
      </w:r>
      <w:r>
        <w:rPr>
          <w:rFonts w:cs="Times New Roman" w:ascii="Times New Roman" w:hAnsi="Times New Roman"/>
          <w:color w:val="000000"/>
        </w:rPr>
        <w:t>The Joint House and Senate Conference on Interior Appropriations has reached an agreement on the DOE R&amp;D funding for FY2001, including total natural gas funding of $227 million.  This includes the administration's request for natural gas industry Infrastructure and Operations. This covers R&amp;D related to the reliability of the gas transmission and distribution system, advanced sensors, inspection, controls, and pipe replacement. Other potential sources of natural gas R&amp;D include $6 million in the Transportation Appropriations Bill, $2 million in the Defense Appropriations Bill and $3 million in the Energy and Water Appropriations Bill.</w:t>
      </w:r>
    </w:p>
    <w:p>
      <w:pPr>
        <w:pStyle w:val="Normal"/>
        <w:rPr>
          <w:rFonts w:ascii="Times New Roman" w:hAnsi="Times New Roman" w:cs="Times New Roman"/>
          <w:b/>
          <w:color w:val="000000"/>
        </w:rPr>
      </w:pPr>
      <w:r>
        <w:rPr>
          <w:rFonts w:cs="Times New Roman" w:ascii="Times New Roman" w:hAnsi="Times New Roman"/>
          <w:b/>
          <w:color w:val="000000"/>
        </w:rPr>
      </w:r>
    </w:p>
    <w:p>
      <w:pPr>
        <w:pStyle w:val="Normal"/>
        <w:numPr>
          <w:ilvl w:val="0"/>
          <w:numId w:val="15"/>
        </w:numPr>
        <w:rPr>
          <w:rFonts w:ascii="Times New Roman" w:hAnsi="Times New Roman" w:cs="Times New Roman"/>
        </w:rPr>
      </w:pPr>
      <w:r>
        <w:rPr>
          <w:rFonts w:cs="Times New Roman" w:ascii="Times New Roman" w:hAnsi="Times New Roman"/>
          <w:b/>
        </w:rPr>
        <w:t xml:space="preserve">Chairman Hoecker Addresses U.S. Senate.  </w:t>
      </w:r>
      <w:r>
        <w:rPr>
          <w:rFonts w:cs="Times New Roman" w:ascii="Times New Roman" w:hAnsi="Times New Roman"/>
        </w:rPr>
        <w:t xml:space="preserve">On October 5, Chairman Hoecker spoke before the Subcommittee on Energy Research, Development, Production and Regulation Committee on Energy and Natural Resources of the Senate.  The hearing was set to discuss the challenges facing the electricity markets in the Northwest.  Hoecker's comments focused on FERC's regulatory authority and the wholesale markets in the Northwest including the recent price volatility, the state of electric restructuring and electric competition issues.  </w:t>
      </w:r>
      <w:r>
        <w:rPr>
          <w:rFonts w:cs="Times New Roman" w:ascii="Times New Roman" w:hAnsi="Times New Roman"/>
          <w:sz w:val="16"/>
        </w:rPr>
        <w:t>[Attached:  Hoecker.pdf]</w:t>
      </w:r>
      <w:r>
        <w:rPr>
          <w:rFonts w:cs="Times New Roman" w:ascii="Times New Roman" w:hAnsi="Times New Roman"/>
        </w:rPr>
        <w:t xml:space="preserve"> </w:t>
      </w:r>
    </w:p>
    <w:sectPr>
      <w:footerReference w:type="default" r:id="rId3"/>
      <w:type w:val="nextPage"/>
      <w:pgSz w:w="12240" w:h="15840"/>
      <w:pgMar w:left="1440" w:right="1440" w:gutter="0" w:header="0" w:top="1080" w:footer="36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Monotype Sorts">
    <w:charset w:val="02"/>
    <w:family w:val="auto"/>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WK10-6.doc</w: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770" cy="131445"/>
              <wp:effectExtent l="0" t="0" r="0" b="0"/>
              <wp:wrapSquare wrapText="bothSides"/>
              <wp:docPr id="2" name="Frame1"/>
              <a:graphic xmlns:a="http://schemas.openxmlformats.org/drawingml/2006/main">
                <a:graphicData uri="http://schemas.microsoft.com/office/word/2010/wordprocessingShape">
                  <wps:wsp>
                    <wps:cNvSpPr txBox="1"/>
                    <wps:spPr>
                      <a:xfrm>
                        <a:off x="0" y="0"/>
                        <a:ext cx="64770" cy="131445"/>
                      </a:xfrm>
                      <a:prstGeom prst="rect"/>
                      <a:solidFill>
                        <a:srgbClr val="FFFFFF">
                          <a:alpha val="0"/>
                        </a:srgbClr>
                      </a:solidFill>
                    </wps:spPr>
                    <wps:txbx>
                      <w:txbxContent>
                        <w:p>
                          <w:pPr>
                            <w:pStyle w:val="Footer"/>
                            <w:rPr>
                              <w:rStyle w:val="PageNumbe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5.1pt;height:10.35pt;mso-wrap-distance-left:0pt;mso-wrap-distance-right:0pt;mso-wrap-distance-top:0pt;mso-wrap-distance-bottom:0pt;margin-top:0.05pt;mso-position-vertical-relative:text;margin-left:231.45pt;mso-position-horizontal:center;mso-position-horizontal-relative:margin">
              <v:fill opacity="0f"/>
              <v:textbox inset="0in,0in,0in,0in">
                <w:txbxContent>
                  <w:p>
                    <w:pPr>
                      <w:pStyle w:val="Footer"/>
                      <w:rPr>
                        <w:rStyle w:val="PageNumbe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702"/>
        </w:tabs>
        <w:ind w:start="702" w:hanging="360"/>
      </w:pPr>
      <w:rPr>
        <w:rFonts w:ascii="Wingdings" w:hAnsi="Wingdings" w:cs="Wingdings" w:hint="default"/>
        <w:sz w:val="20"/>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702"/>
        </w:tabs>
        <w:ind w:start="702" w:hanging="360"/>
      </w:pPr>
      <w:rPr>
        <w:rFonts w:ascii="Wingdings" w:hAnsi="Wingdings" w:cs="Wingdings" w:hint="default"/>
        <w:sz w:val="20"/>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702"/>
        </w:tabs>
        <w:ind w:start="702" w:hanging="360"/>
      </w:pPr>
      <w:rPr>
        <w:rFonts w:ascii="Wingdings" w:hAnsi="Wingdings" w:cs="Wingdings" w:hint="default"/>
        <w:sz w:val="20"/>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702"/>
        </w:tabs>
        <w:ind w:start="702" w:hanging="360"/>
      </w:pPr>
      <w:rPr>
        <w:rFonts w:ascii="Wingdings" w:hAnsi="Wingdings" w:cs="Wingdings" w:hint="default"/>
        <w:sz w:val="20"/>
      </w:rPr>
    </w:lvl>
  </w:abstractNum>
  <w:abstractNum w:abstractNumId="18">
    <w:lvl w:ilvl="0">
      <w:start w:val="1"/>
      <w:numFmt w:val="bullet"/>
      <w:lvlText w:val=""/>
      <w:lvlJc w:val="start"/>
      <w:pPr>
        <w:tabs>
          <w:tab w:val="num" w:pos="0"/>
        </w:tabs>
        <w:ind w:start="360" w:hanging="360"/>
      </w:pPr>
      <w:rPr>
        <w:rFonts w:ascii="Monotype Sorts" w:hAnsi="Monotype Sorts" w:cs="Monotype Sorts"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702"/>
        </w:tabs>
        <w:ind w:start="702" w:hanging="360"/>
      </w:pPr>
      <w:rPr>
        <w:rFonts w:ascii="Wingdings" w:hAnsi="Wingdings" w:cs="Wingdings" w:hint="default"/>
        <w:sz w:val="20"/>
      </w:rPr>
    </w:lvl>
  </w:abstractNum>
  <w:abstractNum w:abstractNumId="24">
    <w:lvl w:ilvl="0">
      <w:numFmt w:val="bullet"/>
      <w:lvlText w:val=""/>
      <w:lvlJc w:val="start"/>
      <w:pPr>
        <w:tabs>
          <w:tab w:val="num" w:pos="360"/>
        </w:tabs>
        <w:ind w:start="360" w:hanging="360"/>
      </w:pPr>
      <w:rPr>
        <w:rFonts w:ascii="Symbol" w:hAnsi="Symbol" w:cs="Symbol" w:hint="default"/>
      </w:rPr>
    </w:lvl>
  </w:abstractNum>
  <w:abstractNum w:abstractNumId="2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sz w:val="20"/>
    </w:rPr>
  </w:style>
  <w:style w:type="character" w:styleId="WW8Num9z0">
    <w:name w:val="WW8Num9z0"/>
    <w:qFormat/>
    <w:rPr>
      <w:rFonts w:ascii="Wingdings" w:hAnsi="Wingdings" w:cs="Wingdings"/>
      <w:sz w:val="20"/>
    </w:rPr>
  </w:style>
  <w:style w:type="character" w:styleId="WW8Num10z0">
    <w:name w:val="WW8Num10z0"/>
    <w:qFormat/>
    <w:rPr>
      <w:rFonts w:ascii="Symbol" w:hAnsi="Symbol" w:cs="Symbol"/>
    </w:rPr>
  </w:style>
  <w:style w:type="character" w:styleId="WW8Num11z0">
    <w:name w:val="WW8Num11z0"/>
    <w:qFormat/>
    <w:rPr>
      <w:rFonts w:ascii="Wingdings" w:hAnsi="Wingdings" w:cs="Wingdings"/>
      <w:sz w:val="20"/>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sz w:val="20"/>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Wingdings" w:hAnsi="Wingdings" w:cs="Wingdings"/>
      <w:sz w:val="20"/>
    </w:rPr>
  </w:style>
  <w:style w:type="character" w:styleId="WW8Num27z0">
    <w:name w:val="WW8Num27z0"/>
    <w:qFormat/>
    <w:rPr>
      <w:rFonts w:ascii="Monotype Sorts" w:hAnsi="Monotype Sorts" w:cs="Monotype Sorts"/>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Wingdings" w:hAnsi="Wingdings" w:cs="Wingdings"/>
      <w:sz w:val="20"/>
    </w:rPr>
  </w:style>
  <w:style w:type="character" w:styleId="WW8Num34z0">
    <w:name w:val="WW8Num34z0"/>
    <w:qFormat/>
    <w:rPr>
      <w:rFonts w:ascii="Symbol" w:hAnsi="Symbol" w:cs="Symbol"/>
    </w:rPr>
  </w:style>
  <w:style w:type="character" w:styleId="WW8Num35z0">
    <w:name w:val="WW8Num35z0"/>
    <w:qFormat/>
    <w:rPr>
      <w:rFonts w:ascii="Wingdings" w:hAnsi="Wingdings" w:cs="Wingdings"/>
      <w:sz w:val="20"/>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25"/>
      </w:numPr>
      <w:ind w:hanging="36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2000-10-05T17:31:00Z</dcterms:created>
  <dc:creator>Jan Butler</dc:creator>
  <dc:description/>
  <dc:language>en-CA</dc:language>
  <cp:lastModifiedBy>Janet Butler</cp:lastModifiedBy>
  <cp:lastPrinted>2000-10-06T14:45:00Z</cp:lastPrinted>
  <dcterms:modified xsi:type="dcterms:W3CDTF">2000-10-06T17:17:00Z</dcterms:modified>
  <cp:revision>10</cp:revision>
  <dc:subject/>
  <dc:title>Weekly Regulatory Report template</dc:title>
</cp:coreProperties>
</file>