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left" w:pos="540" w:leader="none"/>
          <w:tab w:val="right" w:pos="6120" w:leader="none"/>
          <w:tab w:val="right" w:pos="9360" w:leader="none"/>
        </w:tabs>
        <w:rPr>
          <w:sz w:val="22"/>
          <w:szCs w:val="22"/>
        </w:rPr>
      </w:pPr>
      <w:r>
        <w:rPr>
          <w:sz w:val="20"/>
          <w:szCs w:val="20"/>
        </w:rPr>
        <w:drawing>
          <wp:inline distT="0" distB="0" distL="0" distR="0">
            <wp:extent cx="716915" cy="70358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716915" cy="703580"/>
                    </a:xfrm>
                    <a:prstGeom prst="rect">
                      <a:avLst/>
                    </a:prstGeom>
                    <a:noFill/>
                  </pic:spPr>
                </pic:pic>
              </a:graphicData>
            </a:graphic>
          </wp:inline>
        </w:drawing>
      </w:r>
    </w:p>
    <w:p>
      <w:pPr>
        <w:pStyle w:val="Heading"/>
        <w:rPr>
          <w:sz w:val="22"/>
          <w:szCs w:val="22"/>
        </w:rPr>
      </w:pPr>
      <w:r>
        <w:rPr>
          <w:sz w:val="22"/>
          <w:szCs w:val="22"/>
        </w:rPr>
      </w:r>
    </w:p>
    <w:p>
      <w:pPr>
        <w:pStyle w:val="Normal"/>
        <w:rPr>
          <w:sz w:val="22"/>
          <w:szCs w:val="22"/>
        </w:rPr>
      </w:pPr>
      <w:r>
        <w:rPr>
          <w:b/>
          <w:bCs/>
          <w:i/>
          <w:iCs/>
          <w:sz w:val="22"/>
          <w:szCs w:val="22"/>
        </w:rPr>
        <w:t>Natural Gas, Electricity and Endless Possibilities</w:t>
      </w:r>
    </w:p>
    <w:p>
      <w:pPr>
        <w:pStyle w:val="Normal"/>
        <w:rPr>
          <w:b/>
          <w:bCs/>
          <w:sz w:val="22"/>
          <w:szCs w:val="22"/>
        </w:rPr>
      </w:pPr>
      <w:r>
        <w:rPr>
          <w:b/>
          <w:bCs/>
          <w:sz w:val="22"/>
          <w:szCs w:val="22"/>
        </w:rPr>
        <w:t>ENRON TRANSPORTATION SERVICES</w:t>
      </w:r>
    </w:p>
    <w:p>
      <w:pPr>
        <w:pStyle w:val="Normal"/>
        <w:rPr>
          <w:b/>
          <w:bCs/>
          <w:sz w:val="22"/>
          <w:szCs w:val="22"/>
        </w:rPr>
      </w:pPr>
      <w:r>
        <w:rPr>
          <w:b/>
          <w:bCs/>
          <w:sz w:val="22"/>
          <w:szCs w:val="22"/>
        </w:rPr>
      </w:r>
    </w:p>
    <w:p>
      <w:pPr>
        <w:pStyle w:val="Heading"/>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ab/>
      </w:r>
    </w:p>
    <w:tbl>
      <w:tblPr>
        <w:tblW w:w="9451" w:type="dxa"/>
        <w:jc w:val="start"/>
        <w:tblInd w:w="198" w:type="dxa"/>
        <w:tblLayout w:type="fixed"/>
        <w:tblCellMar>
          <w:top w:w="0" w:type="dxa"/>
          <w:start w:w="108" w:type="dxa"/>
          <w:bottom w:w="0" w:type="dxa"/>
          <w:end w:w="108" w:type="dxa"/>
        </w:tblCellMar>
      </w:tblPr>
      <w:tblGrid>
        <w:gridCol w:w="1170"/>
        <w:gridCol w:w="4230"/>
        <w:gridCol w:w="1418"/>
        <w:gridCol w:w="2633"/>
      </w:tblGrid>
      <w:tr>
        <w:trPr>
          <w:trHeight w:val="220" w:hRule="atLeast"/>
        </w:trPr>
        <w:tc>
          <w:tcPr>
            <w:tcW w:w="1170" w:type="dxa"/>
            <w:tcBorders/>
          </w:tcPr>
          <w:p>
            <w:pPr>
              <w:pStyle w:val="Normal"/>
              <w:ind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To: </w:t>
            </w:r>
          </w:p>
        </w:tc>
        <w:tc>
          <w:tcPr>
            <w:tcW w:w="4230" w:type="dxa"/>
            <w:tcBorders/>
          </w:tcPr>
          <w:p>
            <w:pPr>
              <w:pStyle w:val="To"/>
              <w:rPr>
                <w:rFonts w:ascii="CG Times (W1);Times New Roman" w:hAnsi="CG Times (W1);Times New Roman" w:eastAsia="CG Times (W1);Times New Roman" w:cs="CG Times (W1);Times New Roman"/>
                <w:sz w:val="24"/>
                <w:szCs w:val="24"/>
              </w:rPr>
            </w:pPr>
            <w:bookmarkStart w:id="0" w:name="to"/>
            <w:bookmarkEnd w:id="0"/>
            <w:r>
              <w:rPr>
                <w:rFonts w:eastAsia="CG Times (W1);Times New Roman" w:cs="CG Times (W1);Times New Roman" w:ascii="CG Times (W1);Times New Roman" w:hAnsi="CG Times (W1);Times New Roman"/>
                <w:sz w:val="24"/>
                <w:szCs w:val="24"/>
              </w:rPr>
              <w:t>Distribution</w:t>
            </w:r>
          </w:p>
        </w:tc>
        <w:tc>
          <w:tcPr>
            <w:tcW w:w="1418" w:type="dxa"/>
            <w:tcBorders/>
          </w:tcPr>
          <w:p>
            <w:pPr>
              <w:pStyle w:val="Normal"/>
              <w:snapToGrid w:val="false"/>
              <w:ind w:start="-180" w:end="0"/>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2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20" w:hRule="atLeast"/>
        </w:trPr>
        <w:tc>
          <w:tcPr>
            <w:tcW w:w="1170" w:type="dxa"/>
            <w:tcBorders/>
          </w:tcPr>
          <w:p>
            <w:pPr>
              <w:pStyle w:val="Normal"/>
              <w:ind w:firstLine="28" w:start="134"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From:</w:t>
            </w:r>
          </w:p>
        </w:tc>
        <w:tc>
          <w:tcPr>
            <w:tcW w:w="4230" w:type="dxa"/>
            <w:tcBorders/>
          </w:tcPr>
          <w:p>
            <w:pPr>
              <w:pStyle w:val="From"/>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Jan Butler / Shelley Corman</w:t>
            </w:r>
          </w:p>
        </w:tc>
        <w:tc>
          <w:tcPr>
            <w:tcW w:w="1418"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2633" w:type="dxa"/>
            <w:tcBorders/>
          </w:tcPr>
          <w:p>
            <w:pPr>
              <w:pStyle w:val="Department"/>
              <w:snapToGrid w:val="fals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bookmarkStart w:id="1" w:name="From"/>
            <w:bookmarkStart w:id="2" w:name="From"/>
            <w:bookmarkEnd w:id="2"/>
          </w:p>
        </w:tc>
      </w:tr>
      <w:tr>
        <w:trPr>
          <w:trHeight w:val="220" w:hRule="atLeast"/>
        </w:trPr>
        <w:tc>
          <w:tcPr>
            <w:tcW w:w="1170" w:type="dxa"/>
            <w:tcBorders/>
          </w:tcPr>
          <w:p>
            <w:pPr>
              <w:pStyle w:val="Normal"/>
              <w:snapToGrid w:val="false"/>
              <w:ind w:start="-180" w:end="0"/>
              <w:jc w:val="end"/>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r>
          </w:p>
        </w:tc>
        <w:tc>
          <w:tcPr>
            <w:tcW w:w="4230"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1418" w:type="dxa"/>
            <w:tcBorders/>
          </w:tcPr>
          <w:p>
            <w:pPr>
              <w:pStyle w:val="Normal"/>
              <w:snapToGrid w:val="false"/>
              <w:ind w:start="-180" w:end="0"/>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c>
          <w:tcPr>
            <w:tcW w:w="2633" w:type="dxa"/>
            <w:tcBorders/>
          </w:tcPr>
          <w:p>
            <w:pPr>
              <w:pStyle w:val="Normal"/>
              <w:snapToGrid w:val="false"/>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r>
          </w:p>
        </w:tc>
      </w:tr>
      <w:tr>
        <w:trPr>
          <w:trHeight w:val="220" w:hRule="atLeast"/>
        </w:trPr>
        <w:tc>
          <w:tcPr>
            <w:tcW w:w="1170"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Subject:</w:t>
            </w:r>
          </w:p>
        </w:tc>
        <w:tc>
          <w:tcPr>
            <w:tcW w:w="4230" w:type="dxa"/>
            <w:tcBorders>
              <w:bottom w:val="single" w:sz="18" w:space="0" w:color="000000"/>
            </w:tcBorders>
          </w:tcPr>
          <w:p>
            <w:pPr>
              <w:pStyle w:val="Normal"/>
              <w:rPr>
                <w:rFonts w:ascii="Times New Roman" w:hAnsi="Times New Roman" w:eastAsia="Times New Roman" w:cs="Times New Roman"/>
              </w:rPr>
            </w:pPr>
            <w:bookmarkStart w:id="3" w:name="Subject"/>
            <w:bookmarkEnd w:id="3"/>
            <w:r>
              <w:rPr>
                <w:rFonts w:eastAsia="Times New Roman" w:cs="Times New Roman" w:ascii="Times New Roman" w:hAnsi="Times New Roman"/>
              </w:rPr>
              <w:t>Weekly Regulatory and Government Affairs Report</w:t>
            </w:r>
          </w:p>
        </w:tc>
        <w:tc>
          <w:tcPr>
            <w:tcW w:w="1418" w:type="dxa"/>
            <w:tcBorders>
              <w:bottom w:val="single" w:sz="18" w:space="0" w:color="000000"/>
            </w:tcBorders>
          </w:tcPr>
          <w:p>
            <w:pPr>
              <w:pStyle w:val="Normal"/>
              <w:ind w:start="-180" w:end="0"/>
              <w:jc w:val="end"/>
              <w:rPr>
                <w:rFonts w:ascii="CG Times (W1);Times New Roman" w:hAnsi="CG Times (W1);Times New Roman" w:eastAsia="CG Times (W1);Times New Roman" w:cs="CG Times (W1);Times New Roman"/>
              </w:rPr>
            </w:pPr>
            <w:r>
              <w:rPr>
                <w:rFonts w:eastAsia="CG Times (W1);Times New Roman" w:cs="CG Times (W1);Times New Roman" w:ascii="CG Times (W1);Times New Roman" w:hAnsi="CG Times (W1);Times New Roman"/>
              </w:rPr>
              <w:t xml:space="preserve">   </w:t>
            </w:r>
            <w:r>
              <w:rPr>
                <w:rFonts w:eastAsia="CG Times (W1);Times New Roman" w:cs="CG Times (W1);Times New Roman" w:ascii="CG Times (W1);Times New Roman" w:hAnsi="CG Times (W1);Times New Roman"/>
              </w:rPr>
              <w:t>Date:</w:t>
            </w:r>
          </w:p>
        </w:tc>
        <w:tc>
          <w:tcPr>
            <w:tcW w:w="2633" w:type="dxa"/>
            <w:tcBorders>
              <w:bottom w:val="single" w:sz="18" w:space="0" w:color="000000"/>
            </w:tcBorders>
          </w:tcPr>
          <w:p>
            <w:pPr>
              <w:pStyle w:val="Date"/>
              <w:rPr>
                <w:rFonts w:ascii="CG Times (W1);Times New Roman" w:hAnsi="CG Times (W1);Times New Roman" w:eastAsia="CG Times (W1);Times New Roman" w:cs="CG Times (W1);Times New Roman"/>
                <w:sz w:val="24"/>
                <w:szCs w:val="24"/>
              </w:rPr>
            </w:pPr>
            <w:r>
              <w:rPr>
                <w:rFonts w:eastAsia="CG Times (W1);Times New Roman" w:cs="CG Times (W1);Times New Roman" w:ascii="CG Times (W1);Times New Roman" w:hAnsi="CG Times (W1);Times New Roman"/>
                <w:sz w:val="24"/>
                <w:szCs w:val="24"/>
              </w:rPr>
              <w:t>October 27, 2000</w:t>
            </w:r>
          </w:p>
        </w:tc>
      </w:tr>
    </w:tbl>
    <w:p>
      <w:pPr>
        <w:pStyle w:val="Normal"/>
        <w:tabs>
          <w:tab w:val="clear" w:pos="540"/>
        </w:tabs>
        <w:jc w:val="both"/>
        <w:rPr>
          <w:rFonts w:ascii="Times New Roman" w:hAnsi="Times New Roman" w:eastAsia="Times New Roman" w:cs="Times New Roman"/>
        </w:rPr>
      </w:pPr>
      <w:r>
        <w:rPr>
          <w:rFonts w:eastAsia="Times New Roman" w:cs="Times New Roman" w:ascii="Times New Roman" w:hAnsi="Times New Roman"/>
        </w:rPr>
      </w:r>
    </w:p>
    <w:p>
      <w:pPr>
        <w:pStyle w:val="Normal"/>
        <w:tabs>
          <w:tab w:val="clear" w:pos="540"/>
        </w:tabs>
        <w:ind w:start="72" w:end="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General FERC Matters</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FERC Sets Special Electric Meetings.  </w:t>
      </w:r>
      <w:r>
        <w:rPr>
          <w:rFonts w:eastAsia="Times New Roman" w:cs="Times New Roman" w:ascii="Times New Roman" w:hAnsi="Times New Roman"/>
          <w:color w:val="000000"/>
        </w:rPr>
        <w:t>Chairman Hoecker announced that FERC will hold a special meeting Nov. 1 to issue a proposed order detailing possible remedies to the California wholesale market based on two investigations currently underway.  A second session is scheduled for November 9.</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3"/>
        </w:numPr>
        <w:tabs>
          <w:tab w:val="clear" w:pos="540"/>
          <w:tab w:val="left" w:pos="0" w:leader="none"/>
        </w:tabs>
        <w:ind w:hanging="720" w:start="720" w:end="0"/>
        <w:rPr/>
      </w:pPr>
      <w:r>
        <w:rPr>
          <w:rFonts w:eastAsia="Times New Roman" w:cs="Times New Roman" w:ascii="Times New Roman" w:hAnsi="Times New Roman"/>
          <w:b/>
          <w:bCs/>
        </w:rPr>
        <w:t xml:space="preserve">Electronic Filing Demonstration, PL98-1.  </w:t>
      </w:r>
      <w:r>
        <w:rPr>
          <w:rFonts w:eastAsia="Times New Roman" w:cs="Times New Roman" w:ascii="Times New Roman" w:hAnsi="Times New Roman"/>
        </w:rPr>
        <w:t xml:space="preserve">In a notice released on October 19, FERC announced a demonstration will be conducted for filing comments electronically (excepting rulemaking comments) on November 8 to be held at FERC's offices.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rPr>
        <w:t>FERC Rulemaking</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b/>
          <w:bCs/>
        </w:rPr>
      </w:pPr>
      <w:r>
        <w:rPr>
          <w:rFonts w:eastAsia="Times New Roman" w:cs="Times New Roman" w:ascii="Times New Roman" w:hAnsi="Times New Roman"/>
          <w:b/>
          <w:bCs/>
        </w:rPr>
        <w:t>Order 587-L Compliance Filings (Imbalance Netting &amp; Trading)</w:t>
      </w:r>
    </w:p>
    <w:p>
      <w:pPr>
        <w:pStyle w:val="ListBullet"/>
        <w:numPr>
          <w:ilvl w:val="0"/>
          <w:numId w:val="2"/>
        </w:numPr>
        <w:tabs>
          <w:tab w:val="clear" w:pos="540"/>
          <w:tab w:val="left" w:pos="0" w:leader="none"/>
          <w:tab w:val="left" w:pos="180" w:leader="none"/>
        </w:tabs>
        <w:ind w:hanging="360" w:start="1098" w:end="0"/>
        <w:rPr>
          <w:rFonts w:ascii="Times New Roman" w:hAnsi="Times New Roman" w:eastAsia="Times New Roman" w:cs="Times New Roman"/>
        </w:rPr>
      </w:pPr>
      <w:r>
        <w:rPr>
          <w:rFonts w:eastAsia="Times New Roman" w:cs="Times New Roman" w:ascii="Times New Roman" w:hAnsi="Times New Roman"/>
        </w:rPr>
        <w:t>Kansas Pipeline received an extension for compliance filing until December 1, RP01-6</w:t>
      </w:r>
    </w:p>
    <w:p>
      <w:pPr>
        <w:pStyle w:val="ListBullet"/>
        <w:numPr>
          <w:ilvl w:val="0"/>
          <w:numId w:val="2"/>
        </w:numPr>
        <w:tabs>
          <w:tab w:val="clear" w:pos="540"/>
          <w:tab w:val="left" w:pos="0" w:leader="none"/>
          <w:tab w:val="left" w:pos="180" w:leader="none"/>
        </w:tabs>
        <w:ind w:hanging="360" w:start="1080" w:end="0"/>
        <w:rPr>
          <w:rFonts w:ascii="Times New Roman" w:hAnsi="Times New Roman" w:eastAsia="Times New Roman" w:cs="Times New Roman"/>
        </w:rPr>
      </w:pPr>
      <w:r>
        <w:rPr>
          <w:rFonts w:eastAsia="Times New Roman" w:cs="Times New Roman" w:ascii="Times New Roman" w:hAnsi="Times New Roman"/>
        </w:rPr>
        <w:t xml:space="preserve">The Commission issued a blanket order on filings made in response to the November 1 deadline for imbalance netting and trading, RM96-1-14.  Some pipelines made tariff filings to implement imbalance netting and trading, others, including FGT and NNG, filed letters explaining that there tariffs already contain netting and trading provisions.  Both FGT and NNG are directed to respond within 30 days to protests that their existing provisions are not compliant with Orders 587-G and 587-L.  FGT is also required to file an explanation of why transportation charges are added to certain imbalance trades.  Several parties, including Northern Border and Transwestern ask the Commission to consider the issue as part of the Order No. 637 proceeding.  The Commission declined.  Northern Border must file its imbalance netting and trading proposal within 15 days, while Transwestern is directed to file its operator balance trading proposal within 15 days.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 xml:space="preserve">Collaborative Procedures for Energy Facilities Applications, Order No. 608-A, Order on Rehearing.  </w:t>
      </w:r>
      <w:r>
        <w:rPr>
          <w:rFonts w:eastAsia="Times New Roman" w:cs="Times New Roman" w:ascii="Times New Roman" w:hAnsi="Times New Roman"/>
        </w:rPr>
        <w:t xml:space="preserve">FERC issued a rehearing order today which affirms the final rule and makes certain modifications.  The pre-filing collaborative process remains optional.  Modifications stipulated in the rehearing order are as follows:  a) FERC will publish a notice in the Federal Register when authorization is given and in a local newspaper located near the project, b) no certified mail requirement to landowners by project sponsors required and c) does require a collaborative sponsor submit quarterly reports on the progress of a collaboration.  </w:t>
      </w:r>
      <w:r>
        <w:rPr>
          <w:rFonts w:eastAsia="Times New Roman" w:cs="Times New Roman" w:ascii="Times New Roman" w:hAnsi="Times New Roman"/>
          <w:i/>
          <w:iCs/>
        </w:rPr>
        <w:t xml:space="preserve">Early next week we will distribute a summary of the rehearing.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ListBullet"/>
        <w:numPr>
          <w:ilvl w:val="0"/>
          <w:numId w:val="2"/>
        </w:numPr>
        <w:tabs>
          <w:tab w:val="clear" w:pos="540"/>
          <w:tab w:val="left" w:pos="0" w:leader="none"/>
          <w:tab w:val="left" w:pos="180" w:leader="none"/>
        </w:tabs>
        <w:ind w:hanging="720" w:start="720"/>
        <w:rPr>
          <w:rFonts w:ascii="Times New Roman" w:hAnsi="Times New Roman" w:eastAsia="Times New Roman" w:cs="Times New Roman"/>
        </w:rPr>
      </w:pPr>
      <w:r>
        <w:rPr>
          <w:rFonts w:eastAsia="Times New Roman" w:cs="Times New Roman" w:ascii="Times New Roman" w:hAnsi="Times New Roman"/>
          <w:b/>
          <w:bCs/>
        </w:rPr>
        <w:t xml:space="preserve">Revised Annual Charge Methodology for Electric Transmission, RM00-7.  </w:t>
      </w:r>
      <w:r>
        <w:rPr>
          <w:rFonts w:eastAsia="Times New Roman" w:cs="Times New Roman" w:ascii="Times New Roman" w:hAnsi="Times New Roman"/>
        </w:rPr>
        <w:t xml:space="preserve">FERC revised its method for assessing annual charges such that charges will now be based solely on the volume of electricity transmitted by public utilities, rather than assessing charges on both power sales and transmission volumes (i.e. EPMI will no longer have to pay annual charges).  </w:t>
      </w:r>
    </w:p>
    <w:p>
      <w:pPr>
        <w:pStyle w:val="ListBullet"/>
        <w:numPr>
          <w:ilvl w:val="0"/>
          <w:numId w:val="2"/>
        </w:numPr>
        <w:tabs>
          <w:tab w:val="clear" w:pos="540"/>
          <w:tab w:val="left" w:pos="0" w:leader="none"/>
          <w:tab w:val="left" w:pos="180" w:leader="none"/>
        </w:tabs>
        <w:ind w:hanging="360" w:start="36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Order No. 637 Update</w:t>
      </w:r>
    </w:p>
    <w:p>
      <w:pPr>
        <w:pStyle w:val="Normal"/>
        <w:numPr>
          <w:ilvl w:val="0"/>
          <w:numId w:val="4"/>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Dominion Transmission, RP00-344 - technical conference on October 27 cancelled.</w:t>
      </w:r>
    </w:p>
    <w:p>
      <w:pPr>
        <w:pStyle w:val="Normal"/>
        <w:numPr>
          <w:ilvl w:val="0"/>
          <w:numId w:val="4"/>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CIG and Koch held technical conferences this week. Nancy Bagot will circulate notes separately.</w:t>
      </w:r>
    </w:p>
    <w:p>
      <w:pPr>
        <w:pStyle w:val="Normal"/>
        <w:numPr>
          <w:ilvl w:val="0"/>
          <w:numId w:val="4"/>
        </w:numPr>
        <w:tabs>
          <w:tab w:val="clear" w:pos="540"/>
          <w:tab w:val="left" w:pos="0" w:leader="none"/>
        </w:tabs>
        <w:ind w:hanging="720" w:start="1080" w:end="0"/>
        <w:rPr>
          <w:rFonts w:ascii="Times New Roman" w:hAnsi="Times New Roman" w:eastAsia="Times New Roman" w:cs="Times New Roman"/>
        </w:rPr>
      </w:pPr>
      <w:r>
        <w:rPr>
          <w:rFonts w:eastAsia="Times New Roman" w:cs="Times New Roman" w:ascii="Times New Roman" w:hAnsi="Times New Roman"/>
        </w:rPr>
        <w:t xml:space="preserve">National Fuel, RP00-399 technical conference on November 14.  </w:t>
      </w:r>
    </w:p>
    <w:p>
      <w:pPr>
        <w:pStyle w:val="ListBullet"/>
        <w:numPr>
          <w:ilvl w:val="0"/>
          <w:numId w:val="0"/>
        </w:numPr>
        <w:ind w:hanging="0" w:start="0" w:end="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ETS-Related FERC Orders and Filings</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0"/>
        </w:numPr>
        <w:tabs>
          <w:tab w:val="clear" w:pos="540"/>
        </w:tabs>
        <w:ind w:hanging="0" w:start="0"/>
        <w:rPr>
          <w:rFonts w:ascii="Times New Roman" w:hAnsi="Times New Roman" w:eastAsia="Times New Roman" w:cs="Times New Roman"/>
          <w:b/>
          <w:bCs/>
          <w:i/>
          <w:i/>
          <w:iCs/>
        </w:rPr>
      </w:pPr>
      <w:r>
        <w:rPr>
          <w:rFonts w:eastAsia="Times New Roman" w:cs="Times New Roman" w:ascii="Times New Roman" w:hAnsi="Times New Roman"/>
          <w:b/>
          <w:bCs/>
          <w:i/>
          <w:iCs/>
        </w:rPr>
        <w:t>* See Order on Imbalance Netting and Trading Above</w:t>
      </w:r>
    </w:p>
    <w:p>
      <w:pPr>
        <w:pStyle w:val="Normal"/>
        <w:numPr>
          <w:ilvl w:val="0"/>
          <w:numId w:val="0"/>
        </w:numPr>
        <w:tabs>
          <w:tab w:val="clear" w:pos="540"/>
        </w:tabs>
        <w:ind w:hanging="0" w:start="0"/>
        <w:rPr>
          <w:rFonts w:ascii="Times New Roman" w:hAnsi="Times New Roman" w:eastAsia="Times New Roman" w:cs="Times New Roman"/>
          <w:b/>
          <w:bCs/>
          <w:i/>
          <w:i/>
          <w:iCs/>
        </w:rPr>
      </w:pPr>
      <w:r>
        <w:rPr>
          <w:rFonts w:eastAsia="Times New Roman" w:cs="Times New Roman" w:ascii="Times New Roman" w:hAnsi="Times New Roman"/>
          <w:b/>
          <w:bCs/>
          <w:i/>
          <w:iCs/>
        </w:rPr>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Florida Gas</w:t>
      </w:r>
    </w:p>
    <w:p>
      <w:pPr>
        <w:pStyle w:val="Normal"/>
        <w:numPr>
          <w:ilvl w:val="0"/>
          <w:numId w:val="4"/>
        </w:numPr>
        <w:tabs>
          <w:tab w:val="clear" w:pos="540"/>
          <w:tab w:val="left" w:pos="0" w:leader="none"/>
        </w:tabs>
        <w:ind w:hanging="720" w:start="1080" w:end="0"/>
        <w:rPr>
          <w:rFonts w:ascii="Times New Roman" w:hAnsi="Times New Roman" w:eastAsia="Times New Roman" w:cs="Times New Roman"/>
          <w:b/>
          <w:bCs/>
        </w:rPr>
      </w:pPr>
      <w:r>
        <w:rPr>
          <w:rFonts w:eastAsia="Times New Roman" w:cs="Times New Roman" w:ascii="Times New Roman" w:hAnsi="Times New Roman"/>
        </w:rPr>
        <w:t>Letter on amended Phase V project to interested parties, CP00-40</w:t>
      </w:r>
    </w:p>
    <w:p>
      <w:pPr>
        <w:pStyle w:val="Normal"/>
        <w:numPr>
          <w:ilvl w:val="0"/>
          <w:numId w:val="4"/>
        </w:numPr>
        <w:tabs>
          <w:tab w:val="clear" w:pos="540"/>
          <w:tab w:val="left" w:pos="0" w:leader="none"/>
        </w:tabs>
        <w:ind w:hanging="720" w:start="1080" w:end="0"/>
        <w:rPr>
          <w:rFonts w:ascii="Times New Roman" w:hAnsi="Times New Roman" w:eastAsia="Times New Roman" w:cs="Times New Roman"/>
          <w:b/>
          <w:bCs/>
        </w:rPr>
      </w:pPr>
      <w:r>
        <w:rPr>
          <w:rFonts w:eastAsia="Times New Roman" w:cs="Times New Roman" w:ascii="Times New Roman" w:hAnsi="Times New Roman"/>
        </w:rPr>
        <w:t>Noticed filing establishing Base Fuel Reimbursement Charge Percentage, RP01-61.</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Northern Natural</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Accepts negotiated rate contract with WPS Energy Service, RP96-272</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Notice of request for authorization to construct new delivery point for interruptible deliveries to West Point Dairy Products, CP01-15</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Notice of application to remove facilities at compressor station in Stevens County, KS, and returned to rental company, CP01-16</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Approves sale of Seagull Shoreline Laterals to El Paso Offshore Gathering, CP98-744.  Upon sale, facilities become exempt.</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Vacates part of December 22 order regarding sale of  Skellytown facilities in Texas to American Gathering, CP98-234.</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Transwestern</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Accepts new transition cost reservation surcharges tariff filing, RP00-578</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Notice of capacity option proposal, RP01-56 - permits firm shippers to enter into options to call on firm capacity at a specified future date and options to terminate all or a portion of an existing service agreement at a specified future date.</w:t>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rPr>
        <w:t>Accepts revised Settlement Base Rates to be effective November 1, RP00-581 (related to Settlement in Docket No. RP95-271).</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t>Specific FERC Cases</w:t>
      </w:r>
    </w:p>
    <w:p>
      <w:pPr>
        <w:pStyle w:val="Normal"/>
        <w:numPr>
          <w:ilvl w:val="0"/>
          <w:numId w:val="0"/>
        </w:numPr>
        <w:tabs>
          <w:tab w:val="clear" w:pos="540"/>
        </w:tabs>
        <w:ind w:hanging="0" w:start="0"/>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Columbia Gas Enters into Consent Agreement with FERC Enforcement, IN01-1.</w:t>
      </w:r>
      <w:r>
        <w:rPr>
          <w:rFonts w:eastAsia="Times New Roman" w:cs="Times New Roman" w:ascii="Times New Roman" w:hAnsi="Times New Roman"/>
        </w:rPr>
        <w:t xml:space="preserve">  </w:t>
      </w:r>
    </w:p>
    <w:p>
      <w:pPr>
        <w:pStyle w:val="Normal"/>
        <w:numPr>
          <w:ilvl w:val="0"/>
          <w:numId w:val="0"/>
        </w:numPr>
        <w:ind w:hanging="0" w:start="360" w:end="0"/>
        <w:rPr>
          <w:rFonts w:ascii="Times New Roman" w:hAnsi="Times New Roman" w:eastAsia="Times New Roman" w:cs="Times New Roman"/>
        </w:rPr>
      </w:pPr>
      <w:r>
        <w:rPr>
          <w:rFonts w:eastAsia="Times New Roman" w:cs="Times New Roman" w:ascii="Times New Roman" w:hAnsi="Times New Roman"/>
        </w:rPr>
        <w:t xml:space="preserve">On October 25, 2000, following a closed meeting, the Commission approved a consent agreement between the Market Oversight &amp; Enforcement section, Office of General Counsel (Enforcement) and the Columbia Companies which requires Columbia and Gulf to refund $27.5 million to customers for certain imbalance transactions (including $1.8 million of penalty refunds). Between 1996 and 1999, the Columbia Companies allowed eight shippers, including Columbia Energy, a marketing affiliate, to carry positive imbalances under negotiated agreements that allowed the shippers to generate revenues based on the fluctuating seasonal price of natural gas. Under the negotiated agreements, Columbia received 50-90% of such revenues.   During this time period, Columbia did not provide the gas imbalance service to every shipper that sought to participate, did not post the availability of imbalance service, and charged certain customers penalties.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b/>
          <w:bCs/>
        </w:rPr>
        <w:t xml:space="preserve">FERC Orders El Paso to Assign Firm Primary Delivery Point Capacity, RP99-507. </w:t>
      </w:r>
      <w:r>
        <w:rPr>
          <w:rFonts w:eastAsia="Times New Roman" w:cs="Times New Roman" w:ascii="Times New Roman" w:hAnsi="Times New Roman"/>
        </w:rPr>
        <w:t>I</w:t>
      </w:r>
      <w:r>
        <w:rPr>
          <w:rFonts w:eastAsia="Times New Roman" w:cs="Times New Roman" w:ascii="Times New Roman" w:hAnsi="Times New Roman"/>
          <w:color w:val="000000"/>
        </w:rPr>
        <w:t xml:space="preserve">n the order, the Commission finds that El Paso's allocation of delivery point capacity at Topock is unjust &amp; unreasonable.  The Commission directs El Paso to assign primary point rights to its shippers using a one-time assignment process outlined in the order.  If elections for primary point capacity exceed available space, El Paso will pro rate the space and allow shippers to select other primary points in an iterative fashion until all shippers have primary point rights equal to their firm capacity rights. </w:t>
      </w:r>
      <w:r>
        <w:rPr>
          <w:rFonts w:eastAsia="Times New Roman" w:cs="Times New Roman" w:ascii="Times New Roman" w:hAnsi="Times New Roman"/>
        </w:rPr>
        <w:t xml:space="preserve">The attached summary outlines the three-prong method FERC has imposed on El Paso.  FERC deferred another complaint from KN on El Paso's allocation of receipt capacity to be considered as part of El Paso's Order No. 637 proceeding.  </w:t>
      </w:r>
      <w:r>
        <w:rPr>
          <w:rFonts w:eastAsia="Times New Roman" w:cs="Times New Roman" w:ascii="Times New Roman" w:hAnsi="Times New Roman"/>
          <w:sz w:val="16"/>
          <w:szCs w:val="16"/>
        </w:rPr>
        <w:t>[Attached:  El Paso complaint.doc]</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Texas Eastern Application Filed for Leasing Capacity on Algonquin, CP01-8.</w:t>
      </w:r>
      <w:r>
        <w:rPr>
          <w:rFonts w:eastAsia="Times New Roman" w:cs="Times New Roman" w:ascii="Times New Roman" w:hAnsi="Times New Roman"/>
        </w:rPr>
        <w:t xml:space="preserve">  Texas Eastern seeks to lease 80,000 Dth per day of capacity on Algonquin's system extending from an Algonquin's interconnect in Massachusetts to the facilities proposed by Maritimes &amp; Northeast in New Jersey.  The term of the lease is 20 years commencing November 1, 2002 (coinciding with the in-service dates of the proposed Algonquin and Maritimes facilities).  The fixed monthly lease is $559,360 and is less than the maximum recourse rate.  The leased capacity will have provision for certain firm hourly swing rights.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PG&amp;E-Northwest Order Accepts Revisions to Queue Mechanism for Allocating Interruptible Capacity, RP00-566.  </w:t>
      </w:r>
      <w:r>
        <w:rPr>
          <w:rFonts w:eastAsia="Times New Roman" w:cs="Times New Roman" w:ascii="Times New Roman" w:hAnsi="Times New Roman"/>
        </w:rPr>
        <w:t>In an order issued October 25, FERC accepts PG&amp;E's revised tariff sheets eliminating the existing queue mechanism for allocating interruptible capacity among shippers. PG&amp;E wishes to no longer prioritize maximum rate bids based upon a distance-based allocation mechanism.  Rather PG&amp;E intends to use a pro-rata allocation method as the tie-breaking mechanism for maximum rate bids. FERC accepts the pro rata methodology in previous proceedings, including Northern Border, and therefore finds it reasonable.</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Baltimore Gas &amp; Electric Granted Limited Waiver of "Shipper Must Have Title" Policy, RP99-355.  </w:t>
      </w:r>
      <w:r>
        <w:rPr>
          <w:rFonts w:eastAsia="Times New Roman" w:cs="Times New Roman" w:ascii="Times New Roman" w:hAnsi="Times New Roman"/>
        </w:rPr>
        <w:t>BGE seeks a final extension of the waiver of the "shipper must have title" policy to enable BGE to expand its retail unbundling program in Maryland.  Its current waiver expires November 1.  FERC extends the waiver until May 1, 2001.</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rPr>
      </w:pPr>
      <w:r>
        <w:rPr>
          <w:rFonts w:eastAsia="Times New Roman" w:cs="Times New Roman" w:ascii="Times New Roman" w:hAnsi="Times New Roman"/>
          <w:b/>
          <w:bCs/>
        </w:rPr>
        <w:t xml:space="preserve">Texas Eastern Order Suspends Hourly Firm Proposal, RP00-543.  </w:t>
      </w:r>
      <w:r>
        <w:rPr>
          <w:rFonts w:eastAsia="Times New Roman" w:cs="Times New Roman" w:ascii="Times New Roman" w:hAnsi="Times New Roman"/>
        </w:rPr>
        <w:t xml:space="preserve">In an order issued October 25, FERC has suspended Texas Eastern's hourly firm proposal that would have allowed Texas Eastern to reserve an amount of unsubscribed capacity to serve short-notice needs.  Texas Eastern intended to run this proposal as an experiment for one year to start at the beginning of the winter heating season.  FERC finds that the proposal lacks sufficient evidence to implement the proposal.  In ruling, FERC permits Texas Eastern to revise its proposal within 7 days with comments due 7 days thereafter.  This would permit review, and if approved, implementation by November 1, 2000.  </w:t>
      </w:r>
      <w:r>
        <w:rPr>
          <w:rFonts w:eastAsia="Times New Roman" w:cs="Times New Roman" w:ascii="Times New Roman" w:hAnsi="Times New Roman"/>
          <w:i/>
          <w:iCs/>
        </w:rPr>
        <w:t xml:space="preserve">This is not one of the batch of new hourly services aimed at electric generation.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Columbia Gas Order Grants Acquisition of Capacity on Other Pipelines, CP00-382.  </w:t>
      </w:r>
      <w:r>
        <w:rPr>
          <w:rFonts w:eastAsia="Times New Roman" w:cs="Times New Roman" w:ascii="Times New Roman" w:hAnsi="Times New Roman"/>
        </w:rPr>
        <w:t>On October 25, FERC granted Columbia's request to obtain capacity on two other pipelines, Tennessee Gas for up to 10,000 Dth/d and up to 6,608 Dth/d on National Fuel Gas for period of November 1, 2000 through October 31, 2004.  Corroded and unsafe pipelines necessitate this acquisition.</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Great Lakes Order Approves Settlement, RP00-428.</w:t>
      </w:r>
      <w:r>
        <w:rPr>
          <w:rFonts w:eastAsia="Times New Roman" w:cs="Times New Roman" w:ascii="Times New Roman" w:hAnsi="Times New Roman"/>
        </w:rPr>
        <w:t xml:space="preserve">  FERC approves Great Lakes' rate settlement for non-contesting parties and severed Rochester Gas and Electric.  Great Lakes is facing expiration of long-term contracts of almost $40 million by 2004. Expiring contracts will have to be resold at less-than-maximum rates in the short-term market for the next several years resulting in reductions in revenues.  The settlement provides for a 5-year moratorium and reduced depreciation rate (2.75% for book purposes).  Rochester Gas argued that Great Lakes has not filed a rate case in over ten years and their costs and allocations need to be reviewed.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Union Gas Granted Limited Waiver, RP00-504.</w:t>
      </w:r>
      <w:r>
        <w:rPr>
          <w:rFonts w:eastAsia="Times New Roman" w:cs="Times New Roman" w:ascii="Times New Roman" w:hAnsi="Times New Roman"/>
        </w:rPr>
        <w:t xml:space="preserve">  FERC has granted a one-year waiver for Union Gas (Canadian gas company) to allow Union to make consecutive pre-arranged releases of capacity on U.S. pipelines to marketers serving Union's unbundled customers.  As more its customers opt for unbundled service, Union will release its U.S. pipeline capacity.  Union requested a two-year waiver; however in keeping with the requirements directed by Order 637 for posting and bidding, FERC grants one-year waiver to permit Union to begin its retail unbundling program.</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Natural Gas Order Accepts Contested Settlement Regarding Capacity Auction, RP97-431.</w:t>
      </w:r>
      <w:r>
        <w:rPr>
          <w:rFonts w:eastAsia="Times New Roman" w:cs="Times New Roman" w:ascii="Times New Roman" w:hAnsi="Times New Roman"/>
        </w:rPr>
        <w:t xml:space="preserve"> Under the terms of settlement, firm capacity will be posted 15 months before the date it is scheduled to become available and capacity postings will be updated daily.  An Initial Open Season will be held each month for capacity.  All bids must be in the form of SFV.  NGPL must establish a reserve price or reserve price matrix for each bid.  Bidders may find out the reserve price within 24 hours of the close of the open season.  Capacity will be awarded to the bid that meets the reserve price and produces the highest NPV stream.  If capacity is not sold during the bidding process, NGPL will sell the capacity in pre-arranged transactions under request procedures.  Following protestors concern that NGPL would circumvent the open season process, FERC finds recourse rate bidders will be able to obtain capacity without competition from negotiated rate bids.  FERC has imposed a requirement that NGPL will state whether the capacity is subject to a subsequent ROFR or roll-over process ensuring that all shippers are notified of the auction before it takes place.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t xml:space="preserve"> </w:t>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Murphy Exploration v. Quivira Gas, Order Dismissing Complaint, CP95-735.</w:t>
      </w:r>
      <w:r>
        <w:rPr>
          <w:rFonts w:eastAsia="Times New Roman" w:cs="Times New Roman" w:ascii="Times New Roman" w:hAnsi="Times New Roman"/>
        </w:rPr>
        <w:t xml:space="preserve">  The Commission denied the complaint alleging violations of NGA and OCSLA by operating transmission facilities with FERC authorization and charging unjust and discriminatory rates.  Because Quivira was charging different shippers different rates, FERC required Quivira to show cause .  Quivira entered into many negotiated contracts with several producers and stated in intended to reduce its rates as of November 1997.  In this order, FERC finds that there is no violation of NGA since it does not fall under FERC's jurisdiction, that Quivira is providing open, nondiscriminatory access under OCSLA and rejects the request to refund. </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4"/>
        </w:numPr>
        <w:tabs>
          <w:tab w:val="clear" w:pos="540"/>
          <w:tab w:val="left" w:pos="0" w:leader="none"/>
        </w:tabs>
        <w:ind w:hanging="720" w:start="720" w:end="0"/>
        <w:rPr>
          <w:rFonts w:ascii="Times New Roman" w:hAnsi="Times New Roman" w:eastAsia="Times New Roman" w:cs="Times New Roman"/>
          <w:b/>
          <w:bCs/>
        </w:rPr>
      </w:pPr>
      <w:r>
        <w:rPr>
          <w:rFonts w:eastAsia="Times New Roman" w:cs="Times New Roman" w:ascii="Times New Roman" w:hAnsi="Times New Roman"/>
          <w:b/>
          <w:bCs/>
        </w:rPr>
        <w:t xml:space="preserve">Transco Order Grants Clarification of Piedmont's Secondary Rights for Backhaul Volumes Without Engaging in Capacity Release Transactions, RP00-17.  </w:t>
      </w:r>
      <w:r>
        <w:rPr>
          <w:rFonts w:eastAsia="Times New Roman" w:cs="Times New Roman" w:ascii="Times New Roman" w:hAnsi="Times New Roman"/>
        </w:rPr>
        <w:t xml:space="preserve">Piedmont requested clarification that Transco is required to permit Piedmont to use secondary rights to deliver backhaul volumes without requiring Piedmont to engage in capacity release transactions. FERC agreed.  Commissioner Breathitt concurred stating the question is not whether overlap of forwardhaul or backhaul transactions in excess of contract demand should be permitted but rather whether overlap can occur at all at Piedmont's citygate.  In this case, the aggregated delivery points analogous to a pooling point and there can be no physical overlap within the point.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720" w:start="720" w:end="0"/>
        <w:rPr/>
      </w:pPr>
      <w:r>
        <w:rPr>
          <w:rFonts w:eastAsia="Times New Roman" w:cs="Times New Roman" w:ascii="Times New Roman" w:hAnsi="Times New Roman"/>
          <w:b/>
          <w:bCs/>
        </w:rPr>
        <w:t xml:space="preserve">Texas Gas Order Denies Rehearing and Accepts Compliance Filing in New Summer No-Notice Service, RP00-83.  </w:t>
      </w:r>
      <w:r>
        <w:rPr>
          <w:rFonts w:eastAsia="Times New Roman" w:cs="Times New Roman" w:ascii="Times New Roman" w:hAnsi="Times New Roman"/>
        </w:rPr>
        <w:t>The Commission accepted the compliance filing to modify the SNNS service to include an SFV rate design and eliminate the minimum bill.  Texas Gas had originally proposed this combined transportation/no-notice service as a volumetric service to meet the needs of electric generators.  Despite the support of generators, existing customers successfully fought off the move away from SFV.</w:t>
      </w:r>
      <w:r>
        <w:rPr>
          <w:rFonts w:eastAsia="Times New Roman" w:cs="Times New Roman" w:ascii="Times New Roman" w:hAnsi="Times New Roman"/>
          <w:b/>
          <w:bCs/>
        </w:rPr>
        <w:t xml:space="preserve"> </w:t>
      </w:r>
    </w:p>
    <w:p>
      <w:pPr>
        <w:pStyle w:val="Normal"/>
        <w:numPr>
          <w:ilvl w:val="0"/>
          <w:numId w:val="0"/>
        </w:numPr>
        <w:tabs>
          <w:tab w:val="clear" w:pos="540"/>
        </w:tabs>
        <w:ind w:hanging="0" w:start="0"/>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4"/>
        </w:numPr>
        <w:tabs>
          <w:tab w:val="clear" w:pos="540"/>
          <w:tab w:val="left" w:pos="0" w:leader="none"/>
        </w:tabs>
        <w:ind w:hanging="360" w:start="720" w:end="0"/>
        <w:rPr/>
      </w:pPr>
      <w:r>
        <w:rPr>
          <w:rFonts w:eastAsia="Times New Roman" w:cs="Times New Roman" w:ascii="Times New Roman" w:hAnsi="Times New Roman"/>
          <w:b/>
          <w:bCs/>
        </w:rPr>
        <w:t xml:space="preserve">Dominion Resources and Consolidated Natural Gas, EC99-81 and MG00-6-004.  </w:t>
      </w:r>
      <w:r>
        <w:rPr>
          <w:rFonts w:eastAsia="Times New Roman" w:cs="Times New Roman" w:ascii="Times New Roman" w:hAnsi="Times New Roman"/>
        </w:rPr>
        <w:t>The order issued October 17 requests Dominion and CNG to reply to marketing affiliate issues by October 27. The order requests additional information pertaining to the merger of Dominion Resources and CNG.  For example, requested is why the list of "affiliated" energy companies excludes nine specific companies along with information on minority interests, affiliate control and amount of interest held by Dominion.  Further requested information is the identification of 27 companies excluded from the list of "affiliated" energy companies who operate outside the geographic purview of FERC; and requested information pertaining to shared officers and directors.</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5"/>
        </w:numPr>
        <w:tabs>
          <w:tab w:val="clear" w:pos="540"/>
          <w:tab w:val="left" w:pos="0" w:leader="none"/>
        </w:tabs>
        <w:ind w:hanging="360" w:start="720" w:end="0"/>
        <w:rPr/>
      </w:pPr>
      <w:r>
        <w:rPr>
          <w:rFonts w:eastAsia="Times New Roman" w:cs="Times New Roman" w:ascii="Times New Roman" w:hAnsi="Times New Roman"/>
          <w:b/>
          <w:bCs/>
        </w:rPr>
        <w:t xml:space="preserve">Tennessee Gas Order Denies Rehearing of OCS Abandonment Order, CP97-561.  </w:t>
      </w:r>
      <w:r>
        <w:rPr>
          <w:rFonts w:eastAsia="Times New Roman" w:cs="Times New Roman" w:ascii="Times New Roman" w:hAnsi="Times New Roman"/>
        </w:rPr>
        <w:t>In a December 19 order, FERC authorized Tennessee Gas to abandon its Eugene Island facilities to its affiliate, EPEC Offshore Gathering Company, thus becoming non-jurisdictional.  The Offshore Producer Group requested rehearing contending they are customers due customary rights of a transportation customer.  FERC responds that under the gathering policy, Offshore Group is not considered an existing transportation customer and does not have access to the provisions of the gathering agreements filed by Tennessee.  Rehearing denied.</w:t>
      </w:r>
    </w:p>
    <w:p>
      <w:pPr>
        <w:pStyle w:val="Normal"/>
        <w:tabs>
          <w:tab w:val="clear" w:pos="540"/>
        </w:tabs>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6"/>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b/>
          <w:bCs/>
        </w:rPr>
        <w:t xml:space="preserve">Seahawk Shoreline Order on Jurisdictional Status of Facilities, CP96-73.  </w:t>
      </w:r>
      <w:r>
        <w:rPr>
          <w:rFonts w:eastAsia="Times New Roman" w:cs="Times New Roman" w:ascii="Times New Roman" w:hAnsi="Times New Roman"/>
        </w:rPr>
        <w:t xml:space="preserve">Seahawk filed a petition requesting exempt status as a gathering facility. Gas is collected from numerous wells, by several lines, spread across different producing fields and is then brought to multiple production platforms for delivery to Seahawk.  Applying the central-point-in-the-field factor in this case sheds no light on the configuration.  Geographic configuration suggests that some (or all) of the facilities are transportation and the absence of any interconnections with production argues in favor of finding all facilities are transporting gas.  Seahawk's system resembles a large transportation mainline that receives gas at one end for delivery at the other end to interconnections with interstate and intrastate pipelines. FERC finds that the facilities are primarily to transport gas since Seahawk's facilities were constructed to carry gas collected from producing fields located near shore and not to reach remote fields.  In weighing the various factors (from </w:t>
      </w:r>
      <w:r>
        <w:rPr>
          <w:rFonts w:eastAsia="Times New Roman" w:cs="Times New Roman" w:ascii="Times New Roman" w:hAnsi="Times New Roman"/>
          <w:i/>
          <w:iCs/>
        </w:rPr>
        <w:t>Farmland</w:t>
      </w:r>
      <w:r>
        <w:rPr>
          <w:rFonts w:eastAsia="Times New Roman" w:cs="Times New Roman" w:ascii="Times New Roman" w:hAnsi="Times New Roman"/>
        </w:rPr>
        <w:t xml:space="preserve">) taking into account the application of the primary function test in </w:t>
      </w:r>
      <w:r>
        <w:rPr>
          <w:rFonts w:eastAsia="Times New Roman" w:cs="Times New Roman" w:ascii="Times New Roman" w:hAnsi="Times New Roman"/>
          <w:i/>
          <w:iCs/>
        </w:rPr>
        <w:t>Sea Robin</w:t>
      </w:r>
      <w:r>
        <w:rPr>
          <w:rFonts w:eastAsia="Times New Roman" w:cs="Times New Roman" w:ascii="Times New Roman" w:hAnsi="Times New Roman"/>
        </w:rPr>
        <w:t xml:space="preserve">, FERC concludes that the Seahawk facilities are primarily transporting gas.  </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7"/>
        </w:numPr>
        <w:tabs>
          <w:tab w:val="clear" w:pos="540"/>
          <w:tab w:val="left" w:pos="0" w:leader="none"/>
        </w:tabs>
        <w:ind w:hanging="360" w:start="720" w:end="0"/>
        <w:rPr>
          <w:rFonts w:ascii="Times New Roman" w:hAnsi="Times New Roman" w:eastAsia="Times New Roman" w:cs="Times New Roman"/>
          <w:b/>
          <w:bCs/>
        </w:rPr>
      </w:pPr>
      <w:r>
        <w:rPr>
          <w:rFonts w:eastAsia="Times New Roman" w:cs="Times New Roman" w:ascii="Times New Roman" w:hAnsi="Times New Roman"/>
          <w:b/>
          <w:bCs/>
        </w:rPr>
        <w:t xml:space="preserve">Texas Gas Order Sets Issues for Hearing and Accepts Certain Portions, RP00-260.  </w:t>
      </w:r>
      <w:r>
        <w:rPr>
          <w:rFonts w:eastAsia="Times New Roman" w:cs="Times New Roman" w:ascii="Times New Roman" w:hAnsi="Times New Roman"/>
        </w:rPr>
        <w:t xml:space="preserve">Texas Gas filed revised tariff sheets to increase its rates for jurisdictional services in April.  On May 31 FERC suspended the tariff sheets, rejected certain sheets and set the proceeding for hearing.  Texas Gas filed revised tariff sheets.  However, in this order, FERC finds Texas Gas' methodology for developing seasonal-based and term-differentiated rates must be examined at hearing, concerned that Texas Gas has not adequately linked its costs and the rates it proposes.  As indicated with Order 637 and reiterated in 637-A, any use of term-differentiated rates for short-term service will be carefully scrutinized.  Therefore, FERC expects Texas Gas to fully explain the basis and justification for the rates to provide short-term firm using term-differentiated rates. Also set for hearing are the revisions regarding the FSS/ISS service.  </w:t>
      </w:r>
    </w:p>
    <w:p>
      <w:pPr>
        <w:pStyle w:val="Normal"/>
        <w:tabs>
          <w:tab w:val="clear" w:pos="540"/>
        </w:tabs>
        <w:rPr>
          <w:rFonts w:ascii="Times New Roman" w:hAnsi="Times New Roman" w:eastAsia="Times New Roman" w:cs="Times New Roman"/>
          <w:b/>
          <w:bCs/>
        </w:rPr>
      </w:pPr>
      <w:r>
        <w:rPr>
          <w:rFonts w:eastAsia="Times New Roman" w:cs="Times New Roman" w:ascii="Times New Roman" w:hAnsi="Times New Roman"/>
          <w:b/>
          <w:bCs/>
        </w:rPr>
      </w:r>
    </w:p>
    <w:p>
      <w:pPr>
        <w:pStyle w:val="Normal"/>
        <w:tabs>
          <w:tab w:val="clear" w:pos="540"/>
        </w:tabs>
        <w:jc w:val="center"/>
        <w:rPr>
          <w:rFonts w:ascii="Times New Roman" w:hAnsi="Times New Roman" w:eastAsia="Times New Roman" w:cs="Times New Roman"/>
          <w:b/>
          <w:bCs/>
        </w:rPr>
      </w:pPr>
      <w:r>
        <w:rPr>
          <w:rFonts w:eastAsia="Times New Roman" w:cs="Times New Roman" w:ascii="Times New Roman" w:hAnsi="Times New Roman"/>
          <w:b/>
          <w:bCs/>
        </w:rPr>
        <w:t>Industry Matters</w:t>
      </w:r>
    </w:p>
    <w:p>
      <w:pPr>
        <w:pStyle w:val="Normal"/>
        <w:jc w:val="center"/>
        <w:rPr>
          <w:rFonts w:ascii="Times New Roman" w:hAnsi="Times New Roman" w:eastAsia="Times New Roman" w:cs="Times New Roman"/>
          <w:b/>
          <w:bCs/>
        </w:rPr>
      </w:pPr>
      <w:r>
        <w:rPr>
          <w:rFonts w:eastAsia="Times New Roman" w:cs="Times New Roman" w:ascii="Times New Roman" w:hAnsi="Times New Roman"/>
          <w:b/>
          <w:bCs/>
        </w:rPr>
      </w:r>
    </w:p>
    <w:p>
      <w:pPr>
        <w:pStyle w:val="Normal"/>
        <w:numPr>
          <w:ilvl w:val="0"/>
          <w:numId w:val="8"/>
        </w:numPr>
        <w:tabs>
          <w:tab w:val="clear" w:pos="540"/>
          <w:tab w:val="left" w:pos="0" w:leader="none"/>
        </w:tabs>
        <w:ind w:hanging="720" w:start="720" w:end="0"/>
        <w:rPr/>
      </w:pPr>
      <w:r>
        <w:rPr>
          <w:rFonts w:eastAsia="Times New Roman" w:cs="Times New Roman" w:ascii="Times New Roman" w:hAnsi="Times New Roman"/>
          <w:b/>
          <w:bCs/>
        </w:rPr>
        <w:t>Alliance for Energy Suppliers Postpones Nov. 9 Dialogue</w:t>
      </w:r>
      <w:r>
        <w:rPr>
          <w:rFonts w:eastAsia="Times New Roman" w:cs="Times New Roman" w:ascii="Times New Roman" w:hAnsi="Times New Roman"/>
        </w:rPr>
        <w:t>.  The dialogue between generators and pipelines has been postponed until December 4 due to a conflict with the FERC's special meeting on electric markets.</w:t>
      </w:r>
    </w:p>
    <w:p>
      <w:pPr>
        <w:pStyle w:val="Normal"/>
        <w:numPr>
          <w:ilvl w:val="0"/>
          <w:numId w:val="0"/>
        </w:numPr>
        <w:tabs>
          <w:tab w:val="clear" w:pos="540"/>
        </w:tabs>
        <w:ind w:hanging="0" w:start="0"/>
        <w:rPr>
          <w:rFonts w:ascii="Times New Roman" w:hAnsi="Times New Roman" w:eastAsia="Times New Roman" w:cs="Times New Roman"/>
        </w:rPr>
      </w:pPr>
      <w:r>
        <w:rPr>
          <w:rFonts w:eastAsia="Times New Roman" w:cs="Times New Roman" w:ascii="Times New Roman" w:hAnsi="Times New Roman"/>
        </w:rPr>
      </w:r>
    </w:p>
    <w:p>
      <w:pPr>
        <w:pStyle w:val="Normal"/>
        <w:numPr>
          <w:ilvl w:val="0"/>
          <w:numId w:val="8"/>
        </w:numPr>
        <w:tabs>
          <w:tab w:val="clear" w:pos="540"/>
          <w:tab w:val="left" w:pos="0" w:leader="none"/>
        </w:tabs>
        <w:ind w:hanging="360" w:start="720" w:end="0"/>
        <w:rPr/>
      </w:pPr>
      <w:r>
        <w:rPr>
          <w:rFonts w:eastAsia="Times New Roman" w:cs="Times New Roman" w:ascii="Times New Roman" w:hAnsi="Times New Roman"/>
          <w:b/>
          <w:bCs/>
        </w:rPr>
        <w:t>Commission Hebert Speaks at Greater Houston Partnership</w:t>
      </w:r>
      <w:r>
        <w:rPr>
          <w:rFonts w:eastAsia="Times New Roman" w:cs="Times New Roman" w:ascii="Times New Roman" w:hAnsi="Times New Roman"/>
        </w:rPr>
        <w:t>.  Hebert spoke about the difficulties that regulators have in trusting markets, the failure of price caps in electric markets and the need for new pipeline infrastructure.</w:t>
      </w:r>
    </w:p>
    <w:sectPr>
      <w:footerReference w:type="default" r:id="rId3"/>
      <w:footerReference w:type="first" r:id="rId4"/>
      <w:type w:val="nextPage"/>
      <w:pgSz w:w="12240" w:h="15840"/>
      <w:pgMar w:left="1440" w:right="1440" w:gutter="0" w:header="0" w:top="1080" w:footer="360" w:bottom="990"/>
      <w:pgNumType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family w:val="swiss"/>
    <w:pitch w:val="variable"/>
  </w:font>
  <w:font w:name="CG Times (WN)">
    <w:charset w:val="01"/>
    <w:family w:val="roman"/>
    <w:pitch w:val="variable"/>
  </w:font>
  <w:font w:name="CG Times (W1)">
    <w:altName w:val="Times New Roman"/>
    <w:charset w:val="01"/>
    <w:family w:val="roman"/>
    <w:pitch w:val="variable"/>
  </w:font>
  <w:font w:name="Times New Roman">
    <w:charset w:val="01"/>
    <w:family w:val="roman"/>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0"/>
        <w:szCs w:val="10"/>
      </w:rPr>
      <w:t>WK10</w:t>
    </w:r>
    <w:r>
      <w:rPr>
        <w:sz w:val="12"/>
        <w:szCs w:val="12"/>
      </w:rPr>
      <w:t>-27.doc</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770" cy="131445"/>
              <wp:effectExtent l="0" t="0" r="0" b="0"/>
              <wp:wrapSquare wrapText="bothSides"/>
              <wp:docPr id="2" name="Frame1"/>
              <a:graphic xmlns:a="http://schemas.openxmlformats.org/drawingml/2006/main">
                <a:graphicData uri="http://schemas.microsoft.com/office/word/2010/wordprocessingShape">
                  <wps:wsp>
                    <wps:cNvSpPr txBox="1"/>
                    <wps:spPr>
                      <a:xfrm>
                        <a:off x="0" y="0"/>
                        <a:ext cx="64770" cy="131445"/>
                      </a:xfrm>
                      <a:prstGeom prst="rect"/>
                      <a:solidFill>
                        <a:srgbClr val="FFFFFF">
                          <a:alpha val="0"/>
                        </a:srgbClr>
                      </a:solidFill>
                    </wps:spPr>
                    <wps:txbx>
                      <w:txbxContent>
                        <w:p>
                          <w:pPr>
                            <w:pStyle w:val="Footer"/>
                            <w:rPr>
                              <w:rStyle w:val="PageNumbe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6</w:t>
                          </w:r>
                          <w:r>
                            <w:rPr>
                              <w:rStyle w:val="PageNumber"/>
                              <w:sz w:val="18"/>
                              <w:szCs w:val="18"/>
                            </w:rPr>
                            <w:fldChar w:fldCharType="end"/>
                          </w:r>
                        </w:p>
                      </w:txbxContent>
                    </wps:txbx>
                    <wps:bodyPr anchor="t" lIns="0" tIns="0" rIns="0" bIns="0">
                      <a:noAutofit/>
                    </wps:bodyPr>
                  </wps:wsp>
                </a:graphicData>
              </a:graphic>
            </wp:anchor>
          </w:drawing>
        </mc:Choice>
        <mc:Fallback>
          <w:pict>
            <v:rect fillcolor="#FFFFFF" style="position:absolute;rotation:-0;width:5.1pt;height:10.35pt;mso-wrap-distance-left:0pt;mso-wrap-distance-right:0pt;mso-wrap-distance-top:0pt;mso-wrap-distance-bottom:0pt;margin-top:0.05pt;mso-position-vertical-relative:text;margin-left:231.45pt;mso-position-horizontal:center;mso-position-horizontal-relative:margin">
              <v:fill opacity="0f"/>
              <v:textbox inset="0in,0in,0in,0in">
                <w:txbxContent>
                  <w:p>
                    <w:pPr>
                      <w:pStyle w:val="Footer"/>
                      <w:rPr>
                        <w:rStyle w:val="PageNumber"/>
                        <w:sz w:val="18"/>
                        <w:szCs w:val="18"/>
                      </w:rPr>
                    </w:pPr>
                    <w:r>
                      <w:rPr>
                        <w:rStyle w:val="PageNumber"/>
                        <w:sz w:val="18"/>
                        <w:szCs w:val="18"/>
                      </w:rPr>
                      <w:fldChar w:fldCharType="begin"/>
                    </w:r>
                    <w:r>
                      <w:rPr>
                        <w:rStyle w:val="PageNumber"/>
                        <w:sz w:val="18"/>
                        <w:szCs w:val="18"/>
                      </w:rPr>
                      <w:instrText xml:space="preserve"> PAGE </w:instrText>
                    </w:r>
                    <w:r>
                      <w:rPr>
                        <w:rStyle w:val="PageNumber"/>
                        <w:sz w:val="18"/>
                        <w:szCs w:val="18"/>
                      </w:rPr>
                      <w:fldChar w:fldCharType="separate"/>
                    </w:r>
                    <w:r>
                      <w:rPr>
                        <w:rStyle w:val="PageNumber"/>
                        <w:sz w:val="18"/>
                        <w:szCs w:val="18"/>
                      </w:rPr>
                      <w:t>6</w:t>
                    </w:r>
                    <w:r>
                      <w:rPr>
                        <w:rStyle w:val="PageNumber"/>
                        <w:sz w:val="18"/>
                        <w:szCs w:val="18"/>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szCs w:val="12"/>
      </w:rPr>
    </w:pPr>
    <w:r>
      <w:rPr>
        <w:sz w:val="12"/>
        <w:szCs w:val="12"/>
      </w:rPr>
      <w:t>Wk10-27.doc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7">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1"/>
      <w:numFmt w:val="bullet"/>
      <w:lvlText w:val="·"/>
      <w:lvlJc w:val="start"/>
      <w:pPr>
        <w:tabs>
          <w:tab w:val="num" w:pos="360"/>
        </w:tabs>
        <w:ind w:start="36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Arial" w:cs="Arial"/>
      <w:color w:val="auto"/>
      <w:sz w:val="24"/>
      <w:szCs w:val="24"/>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eastAsia="CG Times (WN)" w:cs="CG Times (WN)"/>
      <w:b/>
      <w:bCs/>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qFormat/>
    <w:rPr>
      <w:color w:val="0000FF"/>
      <w:u w:val="single"/>
    </w:rPr>
  </w:style>
  <w:style w:type="paragraph" w:styleId="Heading">
    <w:name w:val="Heading"/>
    <w:basedOn w:val="Normal"/>
    <w:next w:val="BodyText"/>
    <w:qFormat/>
    <w:pPr>
      <w:tabs>
        <w:tab w:val="clear" w:pos="540"/>
      </w:tabs>
    </w:pPr>
    <w:rPr>
      <w:b/>
      <w:bCs/>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szCs w:val="20"/>
    </w:rPr>
  </w:style>
  <w:style w:type="paragraph" w:styleId="Date">
    <w:name w:val="Date"/>
    <w:basedOn w:val="Normal"/>
    <w:qFormat/>
    <w:pPr>
      <w:tabs>
        <w:tab w:val="clear" w:pos="540"/>
      </w:tabs>
    </w:pPr>
    <w:rPr>
      <w:sz w:val="20"/>
      <w:szCs w:val="20"/>
    </w:rPr>
  </w:style>
  <w:style w:type="paragraph" w:styleId="To">
    <w:name w:val="To"/>
    <w:basedOn w:val="Normal"/>
    <w:qFormat/>
    <w:pPr>
      <w:tabs>
        <w:tab w:val="clear" w:pos="540"/>
      </w:tabs>
    </w:pPr>
    <w:rPr>
      <w:sz w:val="20"/>
      <w:szCs w:val="20"/>
    </w:rPr>
  </w:style>
  <w:style w:type="paragraph" w:styleId="From">
    <w:name w:val="From"/>
    <w:basedOn w:val="Normal"/>
    <w:qFormat/>
    <w:pPr>
      <w:tabs>
        <w:tab w:val="clear" w:pos="540"/>
      </w:tabs>
    </w:pPr>
    <w:rPr>
      <w:sz w:val="20"/>
      <w:szCs w:val="20"/>
    </w:rPr>
  </w:style>
  <w:style w:type="paragraph" w:styleId="CopyList">
    <w:name w:val="CopyList"/>
    <w:basedOn w:val="Normal"/>
    <w:qFormat/>
    <w:pPr>
      <w:tabs>
        <w:tab w:val="clear" w:pos="540"/>
        <w:tab w:val="left" w:pos="504" w:leader="none"/>
      </w:tabs>
      <w:spacing w:before="360" w:after="0"/>
      <w:ind w:hanging="504" w:start="576" w:end="0"/>
    </w:pPr>
    <w:rPr>
      <w:sz w:val="20"/>
      <w:szCs w:val="20"/>
    </w:rPr>
  </w:style>
  <w:style w:type="paragraph" w:styleId="Body">
    <w:name w:val="Body"/>
    <w:basedOn w:val="Normal"/>
    <w:qFormat/>
    <w:pPr>
      <w:tabs>
        <w:tab w:val="clear" w:pos="540"/>
      </w:tabs>
      <w:ind w:hanging="0" w:start="72" w:end="0"/>
    </w:pPr>
    <w:rPr>
      <w:color w:val="000080"/>
      <w:sz w:val="20"/>
      <w:szCs w:val="20"/>
    </w:rPr>
  </w:style>
  <w:style w:type="paragraph" w:styleId="Department">
    <w:name w:val="Department"/>
    <w:basedOn w:val="Normal"/>
    <w:qFormat/>
    <w:pPr>
      <w:tabs>
        <w:tab w:val="clear" w:pos="540"/>
      </w:tabs>
    </w:pPr>
    <w:rPr>
      <w:sz w:val="20"/>
      <w:szCs w:val="20"/>
    </w:rPr>
  </w:style>
  <w:style w:type="paragraph" w:styleId="ListBullet">
    <w:name w:val="List Bullet"/>
    <w:basedOn w:val="Normal"/>
    <w:qFormat/>
    <w:pPr>
      <w:numPr>
        <w:ilvl w:val="0"/>
        <w:numId w:val="2"/>
      </w:numPr>
      <w:ind w:hanging="360" w:start="3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2000-10-05T15:15:00Z</dcterms:created>
  <dc:creator>Jan Butler</dc:creator>
  <dc:description/>
  <dc:language>en-CA</dc:language>
  <cp:lastModifiedBy>Janet Butler</cp:lastModifiedBy>
  <cp:lastPrinted>2000-10-27T16:54:00Z</cp:lastPrinted>
  <dcterms:modified xsi:type="dcterms:W3CDTF">2000-10-27T19:25:00Z</dcterms:modified>
  <cp:revision>31</cp:revision>
  <dc:subject/>
  <dc:title>Weekly Regulatory Report template</dc:title>
</cp:coreProperties>
</file>