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szCs w:val="22"/>
        </w:rPr>
      </w:pPr>
      <w:r>
        <w:rPr>
          <w:sz w:val="20"/>
          <w:szCs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16915" cy="703580"/>
                    </a:xfrm>
                    <a:prstGeom prst="rect">
                      <a:avLst/>
                    </a:prstGeom>
                    <a:noFill/>
                  </pic:spPr>
                </pic:pic>
              </a:graphicData>
            </a:graphic>
          </wp:inline>
        </w:drawing>
      </w:r>
    </w:p>
    <w:p>
      <w:pPr>
        <w:pStyle w:val="Heading"/>
        <w:rPr>
          <w:sz w:val="22"/>
          <w:szCs w:val="22"/>
        </w:rPr>
      </w:pPr>
      <w:r>
        <w:rPr>
          <w:sz w:val="22"/>
          <w:szCs w:val="22"/>
        </w:rPr>
      </w:r>
    </w:p>
    <w:p>
      <w:pPr>
        <w:pStyle w:val="Normal"/>
        <w:rPr>
          <w:sz w:val="22"/>
          <w:szCs w:val="22"/>
        </w:rPr>
      </w:pPr>
      <w:r>
        <w:rPr>
          <w:b/>
          <w:bCs/>
          <w:i/>
          <w:iCs/>
          <w:sz w:val="22"/>
          <w:szCs w:val="22"/>
        </w:rPr>
        <w:t>Natural Gas, Electricity and Endless Possibilities</w:t>
      </w:r>
    </w:p>
    <w:p>
      <w:pPr>
        <w:pStyle w:val="Normal"/>
        <w:rPr>
          <w:b/>
          <w:bCs/>
          <w:sz w:val="22"/>
          <w:szCs w:val="22"/>
        </w:rPr>
      </w:pPr>
      <w:r>
        <w:rPr>
          <w:b/>
          <w:bCs/>
          <w:sz w:val="22"/>
          <w:szCs w:val="22"/>
        </w:rPr>
        <w:t>ENRON TRANSPORTATION SERVICES</w:t>
      </w:r>
    </w:p>
    <w:p>
      <w:pPr>
        <w:pStyle w:val="Normal"/>
        <w:rPr>
          <w:b/>
          <w:bCs/>
          <w:sz w:val="22"/>
          <w:szCs w:val="22"/>
        </w:rPr>
      </w:pPr>
      <w:r>
        <w:rPr>
          <w:b/>
          <w:bCs/>
          <w:sz w:val="22"/>
          <w:szCs w:val="22"/>
        </w:rPr>
      </w:r>
    </w:p>
    <w:p>
      <w:pPr>
        <w:pStyle w:val="Heading"/>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ab/>
      </w:r>
    </w:p>
    <w:tbl>
      <w:tblPr>
        <w:tblW w:w="9451" w:type="dxa"/>
        <w:jc w:val="start"/>
        <w:tblInd w:w="198" w:type="dxa"/>
        <w:tblLayout w:type="fixed"/>
        <w:tblCellMar>
          <w:top w:w="0" w:type="dxa"/>
          <w:start w:w="108" w:type="dxa"/>
          <w:bottom w:w="0" w:type="dxa"/>
          <w:end w:w="108" w:type="dxa"/>
        </w:tblCellMar>
      </w:tblPr>
      <w:tblGrid>
        <w:gridCol w:w="1170"/>
        <w:gridCol w:w="4230"/>
        <w:gridCol w:w="1418"/>
        <w:gridCol w:w="2633"/>
      </w:tblGrid>
      <w:tr>
        <w:trPr>
          <w:trHeight w:val="240" w:hRule="atLeast"/>
        </w:trPr>
        <w:tc>
          <w:tcPr>
            <w:tcW w:w="1170" w:type="dxa"/>
            <w:tcBorders/>
          </w:tcPr>
          <w:p>
            <w:pPr>
              <w:pStyle w:val="Normal"/>
              <w:ind w:start="134"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 xml:space="preserve">To: </w:t>
            </w:r>
          </w:p>
        </w:tc>
        <w:tc>
          <w:tcPr>
            <w:tcW w:w="4230" w:type="dxa"/>
            <w:tcBorders/>
          </w:tcPr>
          <w:p>
            <w:pPr>
              <w:pStyle w:val="To"/>
              <w:rPr>
                <w:rFonts w:ascii="CG Times (W1);Times New Roman" w:hAnsi="CG Times (W1);Times New Roman" w:eastAsia="CG Times (W1);Times New Roman" w:cs="CG Times (W1);Times New Roman"/>
                <w:sz w:val="24"/>
                <w:szCs w:val="24"/>
              </w:rPr>
            </w:pPr>
            <w:bookmarkStart w:id="0" w:name="to"/>
            <w:bookmarkEnd w:id="0"/>
            <w:r>
              <w:rPr>
                <w:rFonts w:eastAsia="CG Times (W1);Times New Roman" w:cs="CG Times (W1);Times New Roman" w:ascii="CG Times (W1);Times New Roman" w:hAnsi="CG Times (W1);Times New Roman"/>
                <w:sz w:val="24"/>
                <w:szCs w:val="24"/>
              </w:rPr>
              <w:t>Distribution</w:t>
            </w:r>
          </w:p>
          <w:p>
            <w:pPr>
              <w:pStyle w:val="To"/>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240" w:hRule="atLeas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4230"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240" w:hRule="atLeast"/>
        </w:trPr>
        <w:tc>
          <w:tcPr>
            <w:tcW w:w="1170" w:type="dxa"/>
            <w:tcBorders/>
          </w:tcPr>
          <w:p>
            <w:pPr>
              <w:pStyle w:val="Normal"/>
              <w:ind w:firstLine="28" w:start="134"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From:</w:t>
            </w:r>
          </w:p>
        </w:tc>
        <w:tc>
          <w:tcPr>
            <w:tcW w:w="4230" w:type="dxa"/>
            <w:tcBorders/>
          </w:tcPr>
          <w:p>
            <w:pPr>
              <w:pStyle w:val="From"/>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t>Jan Butler / Shelley Corman</w:t>
            </w:r>
          </w:p>
        </w:tc>
        <w:tc>
          <w:tcPr>
            <w:tcW w:w="1418" w:type="dxa"/>
            <w:tcBorders/>
          </w:tcPr>
          <w:p>
            <w:pPr>
              <w:pStyle w:val="Normal"/>
              <w:snapToGrid w:val="false"/>
              <w:ind w:start="-180" w:end="0"/>
              <w:jc w:val="end"/>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2633" w:type="dxa"/>
            <w:tcBorders/>
          </w:tcPr>
          <w:p>
            <w:pPr>
              <w:pStyle w:val="Department"/>
              <w:snapToGrid w:val="false"/>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bookmarkStart w:id="1" w:name="From"/>
            <w:bookmarkStart w:id="2" w:name="From"/>
            <w:bookmarkEnd w:id="2"/>
          </w:p>
        </w:tc>
      </w:tr>
      <w:tr>
        <w:trPr>
          <w:trHeight w:val="240" w:hRule="atLeas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4230"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240" w:hRule="atLeast"/>
        </w:trPr>
        <w:tc>
          <w:tcPr>
            <w:tcW w:w="1170"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Subject:</w:t>
            </w:r>
          </w:p>
        </w:tc>
        <w:tc>
          <w:tcPr>
            <w:tcW w:w="4230" w:type="dxa"/>
            <w:tcBorders>
              <w:bottom w:val="single" w:sz="18" w:space="0" w:color="000000"/>
            </w:tcBorders>
          </w:tcPr>
          <w:p>
            <w:pPr>
              <w:pStyle w:val="Normal"/>
              <w:rPr>
                <w:rFonts w:ascii="Times New Roman" w:hAnsi="Times New Roman" w:eastAsia="Times New Roman" w:cs="Times New Roman"/>
              </w:rPr>
            </w:pPr>
            <w:bookmarkStart w:id="3" w:name="Subject"/>
            <w:bookmarkEnd w:id="3"/>
            <w:r>
              <w:rPr>
                <w:rFonts w:eastAsia="Times New Roman" w:cs="Times New Roman" w:ascii="Times New Roman" w:hAnsi="Times New Roman"/>
              </w:rPr>
              <w:t xml:space="preserve">Weekly Regulatory and </w:t>
            </w:r>
          </w:p>
          <w:p>
            <w:pPr>
              <w:pStyle w:val="Normal"/>
              <w:rPr>
                <w:rFonts w:ascii="Times New Roman" w:hAnsi="Times New Roman" w:eastAsia="Times New Roman" w:cs="Times New Roman"/>
              </w:rPr>
            </w:pPr>
            <w:r>
              <w:rPr>
                <w:rFonts w:eastAsia="Times New Roman" w:cs="Times New Roman" w:ascii="Times New Roman" w:hAnsi="Times New Roman"/>
              </w:rPr>
              <w:t>Government Affairs Report</w:t>
            </w:r>
          </w:p>
        </w:tc>
        <w:tc>
          <w:tcPr>
            <w:tcW w:w="1418"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 xml:space="preserve">   </w:t>
            </w:r>
            <w:r>
              <w:rPr>
                <w:rFonts w:eastAsia="CG Times (W1);Times New Roman" w:cs="CG Times (W1);Times New Roman" w:ascii="CG Times (W1);Times New Roman" w:hAnsi="CG Times (W1);Times New Roman"/>
              </w:rPr>
              <w:t>Date:</w:t>
            </w:r>
          </w:p>
        </w:tc>
        <w:tc>
          <w:tcPr>
            <w:tcW w:w="2633" w:type="dxa"/>
            <w:tcBorders>
              <w:bottom w:val="single" w:sz="18" w:space="0" w:color="000000"/>
            </w:tcBorders>
          </w:tcPr>
          <w:p>
            <w:pPr>
              <w:pStyle w:val="Date"/>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t>October 13, 2000</w:t>
            </w:r>
          </w:p>
        </w:tc>
      </w:tr>
    </w:tbl>
    <w:p>
      <w:pPr>
        <w:pStyle w:val="Normal"/>
        <w:tabs>
          <w:tab w:val="clear" w:pos="540"/>
        </w:tabs>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540"/>
        </w:tabs>
        <w:ind w:start="72" w:end="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FERC RULEMAKING</w:t>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Notice Establishing Qualified Documents for Electronic Filing, RM00-12.  </w:t>
      </w:r>
      <w:r>
        <w:rPr>
          <w:rFonts w:eastAsia="Times New Roman" w:cs="Times New Roman" w:ascii="Times New Roman" w:hAnsi="Times New Roman"/>
        </w:rPr>
        <w:t>In a notice issued October 6, FERC has established the qualified documents acceptable for electronic filings via the Internet in lieu of paper copies.  Qualified documents that may be filed in electronic format are:</w:t>
      </w:r>
    </w:p>
    <w:p>
      <w:pPr>
        <w:pStyle w:val="Normal"/>
        <w:numPr>
          <w:ilvl w:val="0"/>
          <w:numId w:val="3"/>
        </w:numPr>
        <w:tabs>
          <w:tab w:val="clear" w:pos="540"/>
          <w:tab w:val="left" w:pos="0" w:leader="none"/>
        </w:tabs>
        <w:ind w:hanging="720" w:start="1440" w:end="0"/>
        <w:rPr/>
      </w:pPr>
      <w:r>
        <w:rPr>
          <w:rFonts w:eastAsia="Times New Roman" w:cs="Times New Roman" w:ascii="Times New Roman" w:hAnsi="Times New Roman"/>
          <w:i/>
          <w:iCs/>
        </w:rPr>
        <w:t>Comments</w:t>
      </w:r>
      <w:r>
        <w:rPr>
          <w:rFonts w:eastAsia="Times New Roman" w:cs="Times New Roman" w:ascii="Times New Roman" w:hAnsi="Times New Roman"/>
        </w:rPr>
        <w:t>, including comments on applications and other filings, technical conferences, and comments filed in connection with environmental documents (e.g. Environmental Impact Statements)</w:t>
      </w:r>
    </w:p>
    <w:p>
      <w:pPr>
        <w:pStyle w:val="Normal"/>
        <w:numPr>
          <w:ilvl w:val="0"/>
          <w:numId w:val="3"/>
        </w:numPr>
        <w:tabs>
          <w:tab w:val="clear" w:pos="540"/>
          <w:tab w:val="left" w:pos="0" w:leader="none"/>
        </w:tabs>
        <w:ind w:hanging="720" w:start="1440" w:end="0"/>
        <w:rPr/>
      </w:pPr>
      <w:r>
        <w:rPr>
          <w:rFonts w:eastAsia="Times New Roman" w:cs="Times New Roman" w:ascii="Times New Roman" w:hAnsi="Times New Roman"/>
          <w:i/>
          <w:iCs/>
        </w:rPr>
        <w:t>Protests</w:t>
      </w:r>
      <w:r>
        <w:rPr>
          <w:rFonts w:eastAsia="Times New Roman" w:cs="Times New Roman" w:ascii="Times New Roman" w:hAnsi="Times New Roman"/>
        </w:rPr>
        <w:t xml:space="preserve">, including protests under 18 CFR 385.211; Protests/Responses under18 CFR 343.3, and Reply comments to all above.  </w:t>
      </w:r>
    </w:p>
    <w:p>
      <w:pPr>
        <w:pStyle w:val="Normal"/>
        <w:numPr>
          <w:ilvl w:val="0"/>
          <w:numId w:val="0"/>
        </w:numPr>
        <w:tabs>
          <w:tab w:val="clear" w:pos="540"/>
        </w:tabs>
        <w:ind w:hanging="0" w:start="360" w:end="0"/>
        <w:rPr>
          <w:rFonts w:ascii="Times New Roman" w:hAnsi="Times New Roman" w:eastAsia="Times New Roman" w:cs="Times New Roman"/>
        </w:rPr>
      </w:pPr>
      <w:r>
        <w:rPr>
          <w:rFonts w:eastAsia="Times New Roman" w:cs="Times New Roman" w:ascii="Times New Roman" w:hAnsi="Times New Roman"/>
        </w:rPr>
        <w:t>Not yet acceptable are</w:t>
      </w:r>
      <w:r>
        <w:rPr>
          <w:rFonts w:eastAsia="Times New Roman" w:cs="Times New Roman" w:ascii="Times New Roman" w:hAnsi="Times New Roman"/>
          <w:b/>
          <w:bCs/>
        </w:rPr>
        <w:t xml:space="preserve"> </w:t>
      </w:r>
      <w:r>
        <w:rPr>
          <w:rFonts w:eastAsia="Times New Roman" w:cs="Times New Roman" w:ascii="Times New Roman" w:hAnsi="Times New Roman"/>
        </w:rPr>
        <w:t xml:space="preserve">Motions to Intervene, Comments on Rulemakings, Comments on Settlements, and Comments on Litigated Cases.  Instructions on the mechanics of filing over the Internet are included in Attachment B of the Notice.  FERC also notifies us of the terminating of the electronic filing pilot that it has conducted since January 2000 (ENA participated).  </w:t>
      </w:r>
      <w:r>
        <w:rPr>
          <w:rFonts w:eastAsia="Times New Roman" w:cs="Times New Roman" w:ascii="Times New Roman" w:hAnsi="Times New Roman"/>
          <w:sz w:val="16"/>
          <w:szCs w:val="16"/>
        </w:rPr>
        <w:t xml:space="preserve">[Attached:  RM00-12.doc] </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ListBullet"/>
        <w:numPr>
          <w:ilvl w:val="0"/>
          <w:numId w:val="2"/>
        </w:numPr>
        <w:tabs>
          <w:tab w:val="clear" w:pos="540"/>
          <w:tab w:val="left" w:pos="0" w:leader="none"/>
          <w:tab w:val="left" w:pos="180" w:leader="none"/>
        </w:tabs>
        <w:ind w:hanging="720" w:start="720"/>
        <w:rPr>
          <w:rFonts w:ascii="Times New Roman" w:hAnsi="Times New Roman" w:eastAsia="Times New Roman" w:cs="Times New Roman"/>
          <w:b/>
          <w:bCs/>
        </w:rPr>
      </w:pPr>
      <w:r>
        <w:rPr>
          <w:rFonts w:eastAsia="Times New Roman" w:cs="Times New Roman" w:ascii="Times New Roman" w:hAnsi="Times New Roman"/>
          <w:b/>
          <w:bCs/>
        </w:rPr>
        <w:t>Order No. 637 Update</w:t>
      </w:r>
    </w:p>
    <w:p>
      <w:pPr>
        <w:pStyle w:val="ListBullet"/>
        <w:numPr>
          <w:ilvl w:val="0"/>
          <w:numId w:val="2"/>
        </w:numPr>
        <w:tabs>
          <w:tab w:val="clear" w:pos="540"/>
          <w:tab w:val="left" w:pos="0" w:leader="none"/>
        </w:tabs>
        <w:ind w:hanging="360" w:start="1440" w:end="0"/>
        <w:rPr>
          <w:rFonts w:ascii="Times New Roman" w:hAnsi="Times New Roman" w:eastAsia="Times New Roman" w:cs="Times New Roman"/>
        </w:rPr>
      </w:pPr>
      <w:r>
        <w:rPr>
          <w:rFonts w:eastAsia="Times New Roman" w:cs="Times New Roman" w:ascii="Times New Roman" w:hAnsi="Times New Roman"/>
          <w:b/>
          <w:bCs/>
        </w:rPr>
        <w:t>Koch Gateway's</w:t>
      </w:r>
      <w:r>
        <w:rPr>
          <w:rFonts w:eastAsia="Times New Roman" w:cs="Times New Roman" w:ascii="Times New Roman" w:hAnsi="Times New Roman"/>
        </w:rPr>
        <w:t xml:space="preserve"> second technical conference to be held October 25.</w:t>
      </w:r>
    </w:p>
    <w:p>
      <w:pPr>
        <w:pStyle w:val="ListBullet"/>
        <w:numPr>
          <w:ilvl w:val="0"/>
          <w:numId w:val="2"/>
        </w:numPr>
        <w:tabs>
          <w:tab w:val="clear" w:pos="540"/>
          <w:tab w:val="left" w:pos="0" w:leader="none"/>
        </w:tabs>
        <w:ind w:hanging="360" w:start="1440" w:end="0"/>
        <w:rPr>
          <w:rFonts w:ascii="Times New Roman" w:hAnsi="Times New Roman" w:eastAsia="Times New Roman" w:cs="Times New Roman"/>
        </w:rPr>
      </w:pPr>
      <w:r>
        <w:rPr>
          <w:rFonts w:eastAsia="Times New Roman" w:cs="Times New Roman" w:ascii="Times New Roman" w:hAnsi="Times New Roman"/>
          <w:b/>
          <w:bCs/>
        </w:rPr>
        <w:t xml:space="preserve">Colorado Interstate's </w:t>
      </w:r>
      <w:r>
        <w:rPr>
          <w:rFonts w:eastAsia="Times New Roman" w:cs="Times New Roman" w:ascii="Times New Roman" w:hAnsi="Times New Roman"/>
        </w:rPr>
        <w:t>second technical conference to be held October 26.</w:t>
      </w:r>
    </w:p>
    <w:p>
      <w:pPr>
        <w:pStyle w:val="ListBullet"/>
        <w:numPr>
          <w:ilvl w:val="0"/>
          <w:numId w:val="2"/>
        </w:numPr>
        <w:tabs>
          <w:tab w:val="clear" w:pos="540"/>
          <w:tab w:val="left" w:pos="0" w:leader="none"/>
        </w:tabs>
        <w:ind w:hanging="360" w:start="1440" w:end="0"/>
        <w:rPr>
          <w:rFonts w:ascii="Times New Roman" w:hAnsi="Times New Roman" w:eastAsia="Times New Roman" w:cs="Times New Roman"/>
        </w:rPr>
      </w:pPr>
      <w:r>
        <w:rPr>
          <w:rFonts w:eastAsia="Times New Roman" w:cs="Times New Roman" w:ascii="Times New Roman" w:hAnsi="Times New Roman"/>
          <w:b/>
          <w:bCs/>
        </w:rPr>
        <w:t xml:space="preserve">ANR Pipeline's </w:t>
      </w:r>
      <w:r>
        <w:rPr>
          <w:rFonts w:eastAsia="Times New Roman" w:cs="Times New Roman" w:ascii="Times New Roman" w:hAnsi="Times New Roman"/>
        </w:rPr>
        <w:t>third technical conference to be held on November 15.</w:t>
      </w:r>
    </w:p>
    <w:p>
      <w:pPr>
        <w:pStyle w:val="ListBullet"/>
        <w:numPr>
          <w:ilvl w:val="0"/>
          <w:numId w:val="2"/>
        </w:numPr>
        <w:tabs>
          <w:tab w:val="clear" w:pos="540"/>
          <w:tab w:val="left" w:pos="0" w:leader="none"/>
        </w:tabs>
        <w:ind w:hanging="360" w:start="1440" w:end="0"/>
        <w:rPr>
          <w:rFonts w:ascii="Times New Roman" w:hAnsi="Times New Roman" w:eastAsia="Times New Roman" w:cs="Times New Roman"/>
        </w:rPr>
      </w:pPr>
      <w:r>
        <w:rPr>
          <w:rFonts w:eastAsia="Times New Roman" w:cs="Times New Roman" w:ascii="Times New Roman" w:hAnsi="Times New Roman"/>
          <w:b/>
          <w:bCs/>
        </w:rPr>
        <w:t xml:space="preserve">Dominion's </w:t>
      </w:r>
      <w:r>
        <w:rPr>
          <w:rFonts w:eastAsia="Times New Roman" w:cs="Times New Roman" w:ascii="Times New Roman" w:hAnsi="Times New Roman"/>
        </w:rPr>
        <w:t>second technical conference to be held on October 27.</w:t>
      </w:r>
    </w:p>
    <w:p>
      <w:pPr>
        <w:pStyle w:val="ListBullet"/>
        <w:numPr>
          <w:ilvl w:val="0"/>
          <w:numId w:val="2"/>
        </w:numPr>
        <w:tabs>
          <w:tab w:val="clear" w:pos="540"/>
          <w:tab w:val="left" w:pos="0" w:leader="none"/>
        </w:tabs>
        <w:ind w:hanging="360" w:start="1440" w:end="0"/>
        <w:rPr>
          <w:rFonts w:ascii="Times New Roman" w:hAnsi="Times New Roman" w:eastAsia="Times New Roman" w:cs="Times New Roman"/>
        </w:rPr>
      </w:pPr>
      <w:r>
        <w:rPr>
          <w:rFonts w:eastAsia="Times New Roman" w:cs="Times New Roman" w:ascii="Times New Roman" w:hAnsi="Times New Roman"/>
          <w:b/>
          <w:bCs/>
          <w:i/>
          <w:iCs/>
        </w:rPr>
        <w:t>See</w:t>
      </w:r>
      <w:r>
        <w:rPr>
          <w:rFonts w:eastAsia="Times New Roman" w:cs="Times New Roman" w:ascii="Times New Roman" w:hAnsi="Times New Roman"/>
          <w:b/>
          <w:bCs/>
        </w:rPr>
        <w:t xml:space="preserve"> attached</w:t>
      </w:r>
      <w:r>
        <w:rPr>
          <w:rFonts w:eastAsia="Times New Roman" w:cs="Times New Roman" w:ascii="Times New Roman" w:hAnsi="Times New Roman"/>
        </w:rPr>
        <w:t xml:space="preserve"> report (637_update.doc) for a summary of conferences and filings that occurred this week.  </w:t>
      </w:r>
      <w:r>
        <w:rPr>
          <w:rFonts w:eastAsia="Times New Roman" w:cs="Times New Roman" w:ascii="Times New Roman" w:hAnsi="Times New Roman"/>
          <w:sz w:val="16"/>
          <w:szCs w:val="16"/>
        </w:rPr>
        <w:t>[Attached:  637_update.doc]</w:t>
      </w:r>
      <w:r>
        <w:rPr>
          <w:rFonts w:eastAsia="Times New Roman" w:cs="Times New Roman" w:ascii="Times New Roman" w:hAnsi="Times New Roman"/>
        </w:rPr>
        <w:t xml:space="preserve"> </w:t>
      </w:r>
    </w:p>
    <w:p>
      <w:pPr>
        <w:pStyle w:val="ListBullet"/>
        <w:numPr>
          <w:ilvl w:val="0"/>
          <w:numId w:val="2"/>
        </w:numPr>
        <w:tabs>
          <w:tab w:val="clear" w:pos="540"/>
          <w:tab w:val="left" w:pos="0" w:leader="none"/>
          <w:tab w:val="left" w:pos="180" w:leader="none"/>
        </w:tabs>
        <w:ind w:hanging="360" w:start="360" w:end="0"/>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ETS- RELATED FERC ORDERS AND FILINGS</w:t>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t xml:space="preserve">General: </w:t>
      </w:r>
    </w:p>
    <w:p>
      <w:pPr>
        <w:pStyle w:val="Normal"/>
        <w:numPr>
          <w:ilvl w:val="0"/>
          <w:numId w:val="4"/>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rPr>
        <w:t xml:space="preserve">FERC issued a blanket notice of filings made to comply with the imbalance netting and trading regulations adopted in Order No. 587-G and 587-L.  </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t>Florida Gas:</w:t>
      </w:r>
    </w:p>
    <w:p>
      <w:pPr>
        <w:pStyle w:val="Normal"/>
        <w:numPr>
          <w:ilvl w:val="0"/>
          <w:numId w:val="4"/>
        </w:numPr>
        <w:tabs>
          <w:tab w:val="clear" w:pos="54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Noticed amendment to Phase V application reducing environmental impact and costs, CP00-40</w:t>
      </w:r>
    </w:p>
    <w:p>
      <w:pPr>
        <w:pStyle w:val="Normal"/>
        <w:numPr>
          <w:ilvl w:val="0"/>
          <w:numId w:val="4"/>
        </w:numPr>
        <w:tabs>
          <w:tab w:val="clear" w:pos="54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Florida Municipal Natural Gas withdrew its protest with the understanding that FGT will be at risk for underrecovery of the Tampa Electric fuel rate cap.</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t>Northern Border:</w:t>
      </w:r>
    </w:p>
    <w:p>
      <w:pPr>
        <w:pStyle w:val="Normal"/>
        <w:numPr>
          <w:ilvl w:val="0"/>
          <w:numId w:val="4"/>
        </w:numPr>
        <w:tabs>
          <w:tab w:val="clear" w:pos="54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Filed revised form of draft Commission letter approving Stipulation in Northern Border's rate case, RP99-322</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t>Northern Natural:</w:t>
      </w:r>
    </w:p>
    <w:p>
      <w:pPr>
        <w:pStyle w:val="Normal"/>
        <w:numPr>
          <w:ilvl w:val="0"/>
          <w:numId w:val="4"/>
        </w:numPr>
        <w:tabs>
          <w:tab w:val="clear" w:pos="54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Letter order recognizing completion of successful FERC audit of annual charges, FA00-26.</w:t>
      </w:r>
    </w:p>
    <w:p>
      <w:pPr>
        <w:pStyle w:val="Normal"/>
        <w:numPr>
          <w:ilvl w:val="0"/>
          <w:numId w:val="4"/>
        </w:numPr>
        <w:tabs>
          <w:tab w:val="clear" w:pos="54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Notice for abandoning compressor at Sunray compressor station, CP01-3.</w:t>
      </w:r>
    </w:p>
    <w:p>
      <w:pPr>
        <w:pStyle w:val="Normal"/>
        <w:numPr>
          <w:ilvl w:val="0"/>
          <w:numId w:val="4"/>
        </w:numPr>
        <w:tabs>
          <w:tab w:val="clear" w:pos="54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NDG filed a protest to NNG's letter of compliance with imbalance netting and trading standards, RP00-627.</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t>Transwestern:</w:t>
      </w:r>
    </w:p>
    <w:p>
      <w:pPr>
        <w:pStyle w:val="Normal"/>
        <w:numPr>
          <w:ilvl w:val="0"/>
          <w:numId w:val="4"/>
        </w:numPr>
        <w:tabs>
          <w:tab w:val="clear" w:pos="54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Letter order recognizes completion of successful FERC audit, FA00-29.</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SPECIFIC FERC CASE</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rPr>
        <w:t xml:space="preserve">East Tennessee Receives Waiver of Provision Requiring Reimbursement for Shipper-Requested Expansion Facilities, RP00-540.  </w:t>
      </w:r>
      <w:r>
        <w:rPr>
          <w:rFonts w:eastAsia="Times New Roman" w:cs="Times New Roman" w:ascii="Times New Roman" w:hAnsi="Times New Roman"/>
        </w:rPr>
        <w:t xml:space="preserve">In an order issued October 11, FERC accepted East Tennessee's proposal for a limited waiver on reimbursement of expansion facilities when certain economic criteria are met.  Based on East Tennessee Group's comments, FERC does stipulate that approval of this filing </w:t>
      </w:r>
      <w:r>
        <w:rPr>
          <w:rFonts w:eastAsia="Times New Roman" w:cs="Times New Roman" w:ascii="Times New Roman" w:hAnsi="Times New Roman"/>
          <w:i/>
          <w:iCs/>
        </w:rPr>
        <w:t>does not</w:t>
      </w:r>
      <w:r>
        <w:rPr>
          <w:rFonts w:eastAsia="Times New Roman" w:cs="Times New Roman" w:ascii="Times New Roman" w:hAnsi="Times New Roman"/>
        </w:rPr>
        <w:t xml:space="preserve"> create any presumption that East Tennessee may roll-in the cost of the facilities for recovery in its system rates if it waives reimbursement from the affected customer.  This proposal is similar to the Texas Eastern provisions that have previously been accepted by FERC.</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rPr>
        <w:t xml:space="preserve">Columbia Gas Revisions Auction Filing.  </w:t>
      </w:r>
      <w:r>
        <w:rPr>
          <w:rFonts w:eastAsia="Times New Roman" w:cs="Times New Roman" w:ascii="Times New Roman" w:hAnsi="Times New Roman"/>
        </w:rPr>
        <w:t>On October 6, Columbia Gas filed revisions to the capacity auction proposal.  Columbia proposes to post available long-term capacity one day prior to auction process (called one-day "no bid" period); prohibit the withdrawal of any bid 15 minutes prior to the start of the evaluation period; establishes a 30-minute "drop down" period in which Columbia will be able to lower its minimum price to match any outstanding bids; accept 60 days prior to service a maximum rate for terms of 12 month increments; and provide ROFR shippers with 10-calendar days to match an acceptable bid on capacity with terms 18 months or greater. The revised filing will be discussed at the second technical conference scheduled for October 17.</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 xml:space="preserve">Order on Williams' Kansas Ad Valorem Tax Settlement, RP98-52.  </w:t>
      </w:r>
      <w:r>
        <w:rPr>
          <w:rFonts w:eastAsia="Times New Roman" w:cs="Times New Roman" w:ascii="Times New Roman" w:hAnsi="Times New Roman"/>
        </w:rPr>
        <w:t>The principal features of the proposed settlement are:  all working interest owners who have not provided working interest ownership information receive a credit of up to $100,000 towards their ad valorem tax refund liability, inclusive of interest; working interest owners with a claimed refund liability of $100,000 or less will have the liability extinguished; and working interest owners with a claimed refund liability in excess of $100,000 is eligible to have the refund obligation reduced by $100,000.  FERC approves the settlement with one minor modification.  FERC suggests the termination of numerous petitions for relief pending before FERC upon approval of the settlement without eliminating their right for litigation.  The settlement eliminates the claimed refund obligation for 622 of the 652 claims for Williams.  Only 30 producers are left for future resolution.</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rPr>
        <w:t xml:space="preserve">ANR's Revised Capacity Release Provisions Accepted, RP00-542.  </w:t>
      </w:r>
      <w:r>
        <w:rPr>
          <w:rFonts w:eastAsia="Times New Roman" w:cs="Times New Roman" w:ascii="Times New Roman" w:hAnsi="Times New Roman"/>
        </w:rPr>
        <w:t xml:space="preserve">ANR filed revisions to waive the price cap for short-term capacity release transactions, subject to certain minor modifications on the posting and bidding rules to bring the provisions in conformance with Order No. 577.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rPr>
        <w:t xml:space="preserve">Transok Order Approves Market-Based Storage Rates, PR00-16.  </w:t>
      </w:r>
      <w:r>
        <w:rPr>
          <w:rFonts w:eastAsia="Times New Roman" w:cs="Times New Roman" w:ascii="Times New Roman" w:hAnsi="Times New Roman"/>
        </w:rPr>
        <w:t xml:space="preserve">FERC has approved Transok's request for market-based rates for existing firm and interruptible storage service under Section 311.  Transok operates two intrastate pipelines; one in Oklahoma and one in Texas.  Transok proposes to commit all of its working gas storage capacity of Greasy Creek Storage Field to storage capacity for third parties. Storage facilities are directly connected to Northern Natural, ANR, Reliant Gas, NGPL, Williams Gas, Oklahoma Natural Gas and Panhandle Eastern. </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 xml:space="preserve">Oneok Midstream Pipeline Failed Primary Function Test in Request to Abandon Facilities.  </w:t>
      </w:r>
      <w:r>
        <w:rPr>
          <w:rFonts w:eastAsia="Times New Roman" w:cs="Times New Roman" w:ascii="Times New Roman" w:hAnsi="Times New Roman"/>
        </w:rPr>
        <w:t xml:space="preserve">FERC rules that Oneok's 27-mile, 16-inch line does not qualify as a gathering facility and therefore is jurisdictional, CP00-426. </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ELECTRIC MATTERS</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rPr>
        <w:t xml:space="preserve">Notice With Further Details on Procedures for Public Utilities Filings Released, Order No. 2000. </w:t>
      </w:r>
      <w:r>
        <w:rPr>
          <w:rFonts w:eastAsia="Times New Roman" w:cs="Times New Roman" w:ascii="Times New Roman" w:hAnsi="Times New Roman"/>
        </w:rPr>
        <w:t xml:space="preserve">FERC has set out details on procedures for compliance filings with Order No. 2000.  Filings are due October 15 to join or form RTOs.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ListBullet"/>
        <w:numPr>
          <w:ilvl w:val="0"/>
          <w:numId w:val="2"/>
        </w:numPr>
        <w:tabs>
          <w:tab w:val="clear" w:pos="540"/>
          <w:tab w:val="left" w:pos="0" w:leader="none"/>
          <w:tab w:val="left" w:pos="180" w:leader="none"/>
        </w:tabs>
        <w:ind w:hanging="720" w:start="720"/>
        <w:rPr>
          <w:rFonts w:ascii="Times New Roman" w:hAnsi="Times New Roman" w:eastAsia="Times New Roman" w:cs="Times New Roman"/>
          <w:b/>
          <w:bCs/>
        </w:rPr>
      </w:pPr>
      <w:r>
        <w:rPr>
          <w:rFonts w:eastAsia="Times New Roman" w:cs="Times New Roman" w:ascii="Times New Roman" w:hAnsi="Times New Roman"/>
          <w:b/>
          <w:bCs/>
        </w:rPr>
        <w:t xml:space="preserve">Open Access Same-Time Information Systems and Standards of Conduct, RM95-9.  </w:t>
      </w:r>
      <w:r>
        <w:rPr>
          <w:rFonts w:eastAsia="Times New Roman" w:cs="Times New Roman" w:ascii="Times New Roman" w:hAnsi="Times New Roman"/>
        </w:rPr>
        <w:t>FERC has issued an order granting an extension until March 1, 2001 for compliance with OASIS standards and allowing a transition period on February 28, 2001 during which requests of service made by telephone or fax will be accepted.</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5"/>
        </w:numPr>
        <w:tabs>
          <w:tab w:val="clear" w:pos="540"/>
          <w:tab w:val="left" w:pos="0" w:leader="none"/>
        </w:tabs>
        <w:ind w:hanging="720" w:start="720" w:end="0"/>
        <w:rPr/>
      </w:pPr>
      <w:r>
        <w:rPr>
          <w:rFonts w:eastAsia="Times New Roman" w:cs="Times New Roman" w:ascii="Times New Roman" w:hAnsi="Times New Roman"/>
          <w:b/>
          <w:bCs/>
        </w:rPr>
        <w:t xml:space="preserve">FERC Postponed Financial Trades in NY Market, EL00-90.  </w:t>
      </w:r>
      <w:r>
        <w:rPr>
          <w:rFonts w:eastAsia="Times New Roman" w:cs="Times New Roman" w:ascii="Times New Roman" w:hAnsi="Times New Roman"/>
        </w:rPr>
        <w:t xml:space="preserve">FERC denied Morgan Stanley's application to force the NY ISO to permit financial bids in the wholesale power market by entities with no generating capacity.  Morgan Stanley had challenged the NY ISO rule.  The NY ISO claims it has intentions of building financial trades into the system, just not yet. The ISO wants to get the physical markets to function efficiently before launching financial trades.  </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5"/>
        </w:numPr>
        <w:tabs>
          <w:tab w:val="clear" w:pos="540"/>
          <w:tab w:val="left" w:pos="0" w:leader="none"/>
        </w:tabs>
        <w:ind w:hanging="720" w:start="720" w:end="0"/>
        <w:rPr/>
      </w:pPr>
      <w:r>
        <w:rPr>
          <w:rFonts w:eastAsia="Times New Roman" w:cs="Times New Roman" w:ascii="Times New Roman" w:hAnsi="Times New Roman"/>
          <w:b/>
          <w:bCs/>
        </w:rPr>
        <w:t xml:space="preserve">Commissioner Hebert Dissents in NY ISO Order, ER00-3462.  </w:t>
      </w:r>
      <w:r>
        <w:rPr>
          <w:rFonts w:eastAsia="Times New Roman" w:cs="Times New Roman" w:ascii="Times New Roman" w:hAnsi="Times New Roman"/>
        </w:rPr>
        <w:t xml:space="preserve">Hebert argues that price caps do not work and rather, inhibit market entry that reduces energy supply.  A two-year old ceiling on the price of installed capacity in the NY City area has coincided with a two year shortage of installed capacity in the same area.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
        </w:numPr>
        <w:tabs>
          <w:tab w:val="clear" w:pos="540"/>
          <w:tab w:val="left" w:pos="0" w:leader="none"/>
          <w:tab w:val="left" w:pos="180" w:leader="none"/>
        </w:tabs>
        <w:ind w:hanging="720" w:start="720" w:end="0"/>
        <w:rPr/>
      </w:pPr>
      <w:r>
        <w:rPr>
          <w:rFonts w:eastAsia="Times New Roman" w:cs="Times New Roman" w:ascii="Times New Roman" w:hAnsi="Times New Roman"/>
          <w:b/>
          <w:bCs/>
        </w:rPr>
        <w:t xml:space="preserve">Florida Utilities Offer Hybrid RTO. </w:t>
      </w:r>
      <w:r>
        <w:rPr>
          <w:rFonts w:eastAsia="Times New Roman" w:cs="Times New Roman" w:ascii="Times New Roman" w:hAnsi="Times New Roman"/>
        </w:rPr>
        <w:t xml:space="preserve">  The</w:t>
      </w:r>
      <w:r>
        <w:rPr>
          <w:rFonts w:eastAsia="Times New Roman" w:cs="Times New Roman" w:ascii="Times New Roman" w:hAnsi="Times New Roman"/>
          <w:b/>
          <w:bCs/>
        </w:rPr>
        <w:t xml:space="preserve"> </w:t>
      </w:r>
      <w:r>
        <w:rPr>
          <w:rFonts w:eastAsia="Times New Roman" w:cs="Times New Roman" w:ascii="Times New Roman" w:hAnsi="Times New Roman"/>
        </w:rPr>
        <w:t>filing allows a for-profit transco to operate the transmission system in the Florida Reliability Coordinating Council (FRCC) area, while also owning at least some of the utilities' transmission assets. The utilities participating in the Florida Transmission Company include Florida Power &amp; Light (FPL), Florida Power Corp. and Tampa Electric</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LEGISLATIVE MATTERS</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5"/>
        </w:numPr>
        <w:tabs>
          <w:tab w:val="clear" w:pos="540"/>
          <w:tab w:val="left" w:pos="0" w:leader="none"/>
          <w:tab w:val="left" w:pos="180" w:leader="none"/>
        </w:tabs>
        <w:spacing w:lineRule="atLeast" w:line="240"/>
        <w:ind w:hanging="720" w:start="720" w:end="0"/>
        <w:rPr/>
      </w:pPr>
      <w:r>
        <w:rPr>
          <w:rFonts w:eastAsia="Times New Roman" w:cs="Times New Roman" w:ascii="Times New Roman" w:hAnsi="Times New Roman"/>
          <w:b/>
          <w:bCs/>
        </w:rPr>
        <w:t xml:space="preserve">House Rejects Pipeline Safety Bill.  </w:t>
      </w:r>
      <w:r>
        <w:rPr>
          <w:rFonts w:eastAsia="Times New Roman" w:cs="Times New Roman" w:ascii="Times New Roman" w:hAnsi="Times New Roman"/>
        </w:rPr>
        <w:t xml:space="preserve">House democrats led by Reps. Dingell and Oberstar rejected a Senate safety bill (the McCain bill), arguing that it mandates nothing beyond the current inadequate program of the Office of Pipeline Safety.  Oberstar noted that OPS had failed to carry out previous congressional mandates for pipeline inspections, and questioned why telling them one more time would make any difference. He said that OPS has not issued a single final regulation requiring inspections.  It now appears unlikely that a safety will can be passed with the little remaining time until this session of Congress is over (which now could be as late as Oct. 20), although there is always the chance for last minute additions to appropriations bills. </w:t>
      </w:r>
      <w:r>
        <w:rPr>
          <w:rFonts w:eastAsia="Times New Roman" w:cs="Times New Roman" w:ascii="Times New Roman" w:hAnsi="Times New Roman"/>
          <w:color w:val="000000"/>
        </w:rPr>
        <w:t>The White House is considering drafting an executive order that could be issued if no legislation passes at all.</w:t>
      </w:r>
    </w:p>
    <w:p>
      <w:pPr>
        <w:pStyle w:val="Normal"/>
        <w:rPr>
          <w:rFonts w:ascii="Times New Roman" w:hAnsi="Times New Roman" w:eastAsia="Times New Roman" w:cs="Times New Roman"/>
        </w:rPr>
      </w:pPr>
      <w:r>
        <w:rPr>
          <w:rFonts w:eastAsia="Times New Roman" w:cs="Times New Roman" w:ascii="Times New Roman" w:hAnsi="Times New Roman"/>
        </w:rPr>
      </w:r>
    </w:p>
    <w:sectPr>
      <w:footerReference w:type="default" r:id="rId3"/>
      <w:footerReference w:type="first" r:id="rId4"/>
      <w:type w:val="nextPage"/>
      <w:pgSz w:w="12240" w:h="15840"/>
      <w:pgMar w:left="1440" w:right="1440" w:gutter="0" w:header="0" w:top="1080" w:footer="360" w:bottom="99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default"/>
  </w:font>
  <w:font w:name="CG Times (W1)">
    <w:altName w:val="Times New Roman"/>
    <w:charset w:val="01"/>
    <w:family w:val="roman"/>
    <w:pitch w:val="variable"/>
  </w:font>
  <w:font w:name="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4"/>
        <w:szCs w:val="4"/>
      </w:rPr>
      <w:t>WK7</w:t>
    </w:r>
    <w:r>
      <w:rPr>
        <w:sz w:val="12"/>
        <w:szCs w:val="12"/>
      </w:rPr>
      <w:t>_2_9.doc</w:t>
    </w:r>
    <w:r>
      <mc:AlternateContent>
        <mc:Choice Requires="wps">
          <w:drawing>
            <wp:anchor behindDoc="0" distT="0" distB="0" distL="0" distR="0" simplePos="0" locked="0" layoutInCell="0" allowOverlap="1" relativeHeight="5">
              <wp:simplePos x="0" y="0"/>
              <wp:positionH relativeFrom="page">
                <wp:posOffset>3932555</wp:posOffset>
              </wp:positionH>
              <wp:positionV relativeFrom="paragraph">
                <wp:posOffset>40640</wp:posOffset>
              </wp:positionV>
              <wp:extent cx="56515" cy="116205"/>
              <wp:effectExtent l="0" t="0" r="0" b="0"/>
              <wp:wrapSquare wrapText="bothSides"/>
              <wp:docPr id="2" name="Frame1"/>
              <a:graphic xmlns:a="http://schemas.openxmlformats.org/drawingml/2006/main">
                <a:graphicData uri="http://schemas.microsoft.com/office/word/2010/wordprocessingShape">
                  <wps:wsp>
                    <wps:cNvSpPr txBox="1"/>
                    <wps:spPr>
                      <a:xfrm>
                        <a:off x="0" y="0"/>
                        <a:ext cx="56515" cy="116205"/>
                      </a:xfrm>
                      <a:prstGeom prst="rect"/>
                      <a:solidFill>
                        <a:srgbClr val="FFFFFF">
                          <a:alpha val="0"/>
                        </a:srgbClr>
                      </a:solidFill>
                    </wps:spPr>
                    <wps:txbx>
                      <w:txbxContent>
                        <w:p>
                          <w:pPr>
                            <w:pStyle w:val="Footer"/>
                            <w:rPr>
                              <w:rStyle w:val="PageNumber"/>
                              <w:sz w:val="16"/>
                              <w:szCs w:val="16"/>
                            </w:rP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4</w:t>
                          </w:r>
                          <w:r>
                            <w:rPr>
                              <w:rStyle w:val="PageNumber"/>
                              <w:sz w:val="16"/>
                              <w:szCs w:val="16"/>
                            </w:rPr>
                            <w:fldChar w:fldCharType="end"/>
                          </w:r>
                        </w:p>
                      </w:txbxContent>
                    </wps:txbx>
                    <wps:bodyPr anchor="t" lIns="0" tIns="0" rIns="0" bIns="0">
                      <a:noAutofit/>
                    </wps:bodyPr>
                  </wps:wsp>
                </a:graphicData>
              </a:graphic>
            </wp:anchor>
          </w:drawing>
        </mc:Choice>
        <mc:Fallback>
          <w:pict>
            <v:rect fillcolor="#FFFFFF" style="position:absolute;rotation:-0;width:4.45pt;height:9.15pt;mso-wrap-distance-left:0pt;mso-wrap-distance-right:0pt;mso-wrap-distance-top:0pt;mso-wrap-distance-bottom:0pt;margin-top:3.2pt;mso-position-vertical-relative:text;margin-left:309.65pt;mso-position-horizontal-relative:page">
              <v:fill opacity="0f"/>
              <v:textbox inset="0in,0in,0in,0in">
                <w:txbxContent>
                  <w:p>
                    <w:pPr>
                      <w:pStyle w:val="Footer"/>
                      <w:rPr>
                        <w:rStyle w:val="PageNumber"/>
                        <w:sz w:val="16"/>
                        <w:szCs w:val="16"/>
                      </w:rP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4</w:t>
                    </w:r>
                    <w:r>
                      <w:rPr>
                        <w:rStyle w:val="PageNumber"/>
                        <w:sz w:val="16"/>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t>Wk10-13.doc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ListBullet">
    <w:name w:val="List Bullet"/>
    <w:basedOn w:val="Normal"/>
    <w:qFormat/>
    <w:pPr>
      <w:numPr>
        <w:ilvl w:val="0"/>
        <w:numId w:val="2"/>
      </w:numPr>
      <w:ind w:hanging="36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2000-10-05T15:15:00Z</dcterms:created>
  <dc:creator>Jan Butler</dc:creator>
  <dc:description/>
  <dc:language>en-CA</dc:language>
  <cp:lastModifiedBy>Janet Butler</cp:lastModifiedBy>
  <cp:lastPrinted>2000-10-13T15:44:00Z</cp:lastPrinted>
  <dcterms:modified xsi:type="dcterms:W3CDTF">2000-10-13T18:26:00Z</dcterms:modified>
  <cp:revision>17</cp:revision>
  <dc:subject/>
  <dc:title>Weekly Regulatory Report template</dc:title>
</cp:coreProperties>
</file>