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and                         Wisconsin Electric Power Co., a _____________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March, 2001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Customer shall have defaulted on its indebted</w:t>
        <w:softHyphen/>
        <w:t>ness to third parties, resulting in an acceleration of obligations of Customer in excess of $5,000,000.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$10,000,000, then Company as the Beneficiary Party may request Customer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4.5,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WISCONSIN  ELECTRIC  POWER  CO.</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jc w:val="center"/>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/mnt/main-storage/datasets/enron-docs/doc/WisconsinElectricPower.doc</w:t>
      </w:r>
      <w:r>
        <w:rPr>
          <w:sz w:val="16"/>
          <w:rFonts w:cs="Arial Narrow" w:ascii="Arial Narrow" w:hAnsi="Arial Narrow"/>
        </w:rPr>
        <w:fldChar w:fldCharType="end"/>
      </w: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BodyTextIndent"/>
        <w:rPr>
          <w:i/>
          <w:i/>
        </w:rPr>
      </w:pPr>
      <w:r>
        <w:rPr>
          <w:rFonts w:cs="Arial Narrow" w:ascii="Arial Narrow" w:hAnsi="Arial Narrow"/>
        </w:rPr>
        <w:t>“</w:t>
      </w:r>
      <w:r>
        <w:rPr>
          <w:rFonts w:cs="Arial Narrow" w:ascii="Arial Narrow" w:hAnsi="Arial Narrow"/>
          <w:b/>
          <w:bCs w:val="false"/>
          <w:i/>
          <w:iCs/>
          <w:u w:val="single"/>
        </w:rPr>
        <w:t>Depreciation, Depletion and Amortization Expense</w:t>
      </w:r>
      <w:r>
        <w:rPr>
          <w:rFonts w:cs="Arial Narrow" w:ascii="Arial Narrow" w:hAnsi="Arial Narrow"/>
          <w:b/>
          <w:bCs w:val="false"/>
        </w:rPr>
        <w:t>”</w:t>
      </w:r>
      <w:r>
        <w:rPr>
          <w:rFonts w:cs="Arial Narrow" w:ascii="Arial Narrow" w:hAnsi="Arial Narrow"/>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r>
        <w:rPr/>
        <w:t>.</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w:t>
      </w:r>
      <w:r>
        <w:rPr>
          <w:rFonts w:cs="Arial Narrow" w:ascii="Arial Narrow" w:hAnsi="Arial Narrow"/>
          <w:bCs/>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w:t>
      </w:r>
      <w:r>
        <w:rPr>
          <w:rFonts w:cs="Arial Narrow" w:ascii="Arial Narrow" w:hAnsi="Arial Narrow"/>
          <w:bCs/>
        </w:rPr>
        <w:t xml:space="preserve"> </w:t>
      </w:r>
      <w:r>
        <w:rPr>
          <w:rFonts w:cs="Arial Narrow" w:ascii="Arial Narrow" w:hAnsi="Arial Narrow"/>
          <w:bCs/>
          <w:sz w:val="18"/>
        </w:rPr>
        <w:t xml:space="preserve">to other (a) non-cash operating charges and (b) </w:t>
      </w:r>
      <w:r>
        <w:rPr>
          <w:rFonts w:cs="Arial Narrow" w:ascii="Arial Narrow" w:hAnsi="Arial Narrow"/>
          <w:sz w:val="18"/>
        </w:rPr>
        <w:t xml:space="preserve">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EBITDA Coverage Ratio”</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b/>
          <w:sz w:val="18"/>
          <w:u w:val="single"/>
        </w:rPr>
        <w:t>“</w:t>
      </w:r>
      <w:r>
        <w:rPr>
          <w:rFonts w:cs="Arial Narrow" w:ascii="Arial Narrow" w:hAnsi="Arial Narrow"/>
          <w:b/>
          <w:sz w:val="18"/>
          <w:u w:val="single"/>
        </w:rPr>
        <w:t>In</w:t>
      </w:r>
      <w:r>
        <w:rPr>
          <w:rFonts w:cs="Arial Narrow" w:ascii="Arial Narrow" w:hAnsi="Arial Narrow"/>
          <w:b/>
          <w:i/>
          <w:iCs/>
          <w:sz w:val="18"/>
          <w:u w:val="single"/>
        </w:rPr>
        <w:t>terest Expense”</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w:t>
      </w:r>
      <w:r>
        <w:rPr>
          <w:sz w:val="18"/>
        </w:rPr>
        <w:t xml:space="preserve"> </w:t>
      </w:r>
      <w:r>
        <w:rPr>
          <w:rFonts w:cs="Arial Narrow" w:ascii="Arial Narrow" w:hAnsi="Arial Narrow"/>
          <w:sz w:val="18"/>
        </w:rPr>
        <w:t>(vii) consolidated interest actually paid by Customer, under any guarantee of indebtedness or other obligations of any other person.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occurring at any time (a) the ratio of its Funded Debt  to its Net Worth is greater than 2 to 1; or (b) that ratio of its  EBITDA to Interest Expense is less than 2 to 1, or (c) long-term debt unsupported by third party credit enhancement that is rated by Standard &amp; Poor's Corporation below A.</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xml:space="preserve">" means a period of time beginning at midnight C.T. on the first Day of any calendar Month and ending at midnight C.T. on the first Day of the following calendar Month. </w:t>
      </w:r>
    </w:p>
    <w:p>
      <w:pPr>
        <w:pStyle w:val="Normal"/>
        <w:ind w:start="360" w:end="0"/>
        <w:jc w:val="both"/>
        <w:rPr/>
      </w:pPr>
      <w:r>
        <w:rPr>
          <w:rFonts w:cs="Arial Narrow" w:ascii="Arial Narrow" w:hAnsi="Arial Narrow"/>
          <w:b/>
          <w:i/>
          <w:iCs/>
          <w:sz w:val="18"/>
          <w:u w:val="single"/>
        </w:rPr>
        <w:t>“</w:t>
      </w:r>
      <w:r>
        <w:rPr>
          <w:rFonts w:cs="Arial Narrow" w:ascii="Arial Narrow" w:hAnsi="Arial Narrow"/>
          <w:b/>
          <w:i/>
          <w:iCs/>
          <w:sz w:val="18"/>
          <w:u w:val="single"/>
        </w:rPr>
        <w:t>Net Income”</w:t>
      </w:r>
      <w:r>
        <w:rPr>
          <w:rFonts w:cs="Arial Narrow" w:ascii="Arial Narrow" w:hAnsi="Arial Narrow"/>
          <w:sz w:val="18"/>
        </w:rPr>
        <w:t xml:space="preserve"> means consolidated gross revenues of Customer and other proper income credits, less all proper income charges, including taxes on income, all determined in accordance with GAAP.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t>Wisconsin Electric Power Co.</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___________________________________________________________________________________________________________________________________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both"/>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360" w:end="0"/>
      <w:jc w:val="both"/>
    </w:pPr>
    <w:rPr>
      <w:bCs/>
      <w:sz w:val="1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2001-03-15T19:26:00Z</dcterms:created>
  <dc:creator>dperlin</dc:creator>
  <dc:description/>
  <dc:language>en-CA</dc:language>
  <cp:lastModifiedBy>dperlin</cp:lastModifiedBy>
  <cp:lastPrinted>2001-03-16T11:44:00Z</cp:lastPrinted>
  <dcterms:modified xsi:type="dcterms:W3CDTF">2001-03-16T15:18:00Z</dcterms:modified>
  <cp:revision>6</cp:revision>
  <dc:subject/>
  <dc:title>ENFOLIO® MASTER FIRM PURCHASE/SALE AGREEMENT</dc:title>
</cp:coreProperties>
</file>