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Wisconsin Electric Power Co., a _____________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March,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ness to third parties, resulting in an acceleration of obligations of Customer in excess of $5,000,000.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$25,000,000 then Customer as the Beneficiary Party may request the Company to establish a Letter of Credit as the Account Party in an amount equal to the Termination Payment in excess of $25,000,000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$10,000,000, then Company as the Beneficiary Party may request Customer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4.5,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WISCONSIN  ELECTRIC  POWER  CO.</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jc w:val="center"/>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/mnt/main-storage/datasets/enron-docs/doc/WisconsinElectricPower-a990c5c5b98f3a7e6fbab24b3ff1332e0db9580de3f9a11e3634fd5f02b42a98.doc</w:t>
      </w:r>
      <w:r>
        <w:rPr>
          <w:sz w:val="16"/>
          <w:rFonts w:cs="Arial Narrow" w:ascii="Arial Narrow" w:hAnsi="Arial Narrow"/>
        </w:rPr>
        <w:fldChar w:fldCharType="end"/>
      </w: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Cash Flow</w:t>
      </w:r>
      <w:r>
        <w:rPr>
          <w:rFonts w:cs="Arial Narrow" w:ascii="Arial Narrow" w:hAnsi="Arial Narrow"/>
          <w:sz w:val="18"/>
        </w:rPr>
        <w:t xml:space="preserve">" means for any preceding 12 Month period the sum (without duplication) of net income </w:t>
      </w:r>
      <w:r>
        <w:rPr>
          <w:rFonts w:cs="Arial Narrow" w:ascii="Arial Narrow" w:hAnsi="Arial Narrow"/>
          <w:sz w:val="18"/>
          <w:u w:val="single"/>
        </w:rPr>
        <w:t>plus</w:t>
      </w:r>
      <w:r>
        <w:rPr>
          <w:rFonts w:cs="Arial Narrow" w:ascii="Arial Narrow" w:hAnsi="Arial Narrow"/>
          <w:sz w:val="18"/>
        </w:rPr>
        <w:t xml:space="preserve"> depreciation, amortization and other non-cash charges, to the extent deducted in determining net income, all as determined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Cash Flow Ratio</w:t>
      </w:r>
      <w:r>
        <w:rPr>
          <w:rFonts w:cs="Arial Narrow" w:ascii="Arial Narrow" w:hAnsi="Arial Narrow"/>
          <w:sz w:val="18"/>
        </w:rPr>
        <w:t xml:space="preserve">" means the ratio of Cash Flow to current maturities of long term debt of the subject party determined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BodyTextIndent"/>
        <w:rPr>
          <w:i/>
          <w:i/>
        </w:rPr>
      </w:pPr>
      <w:r>
        <w:rPr>
          <w:rFonts w:cs="Arial Narrow" w:ascii="Arial Narrow" w:hAnsi="Arial Narrow"/>
        </w:rPr>
        <w:t>“</w:t>
      </w:r>
      <w:r>
        <w:rPr>
          <w:rFonts w:cs="Arial Narrow" w:ascii="Arial Narrow" w:hAnsi="Arial Narrow"/>
          <w:b/>
          <w:bCs w:val="false"/>
          <w:i/>
          <w:iCs/>
          <w:u w:val="single"/>
        </w:rPr>
        <w:t>Depreciation, Depletion and Amortization Expense</w:t>
      </w:r>
      <w:r>
        <w:rPr>
          <w:rFonts w:cs="Arial Narrow" w:ascii="Arial Narrow" w:hAnsi="Arial Narrow"/>
          <w:b/>
          <w:bCs w:val="false"/>
        </w:rPr>
        <w:t>”</w:t>
      </w:r>
      <w:r>
        <w:rPr>
          <w:rFonts w:cs="Arial Narrow" w:ascii="Arial Narrow" w:hAnsi="Arial Narrow"/>
        </w:rPr>
        <w:t xml:space="preserve"> means, with respect to Customer, for any period, the total amount of consolidated depreciation, depletion and amortization expense (exclusive of the amortization of the principal amount of any indebtedness) and other similar non-cash operating charges for such person for such period</w:t>
      </w:r>
      <w:r>
        <w:rPr/>
        <w:t>.</w:t>
      </w:r>
    </w:p>
    <w:p>
      <w:pPr>
        <w:pStyle w:val="Normal"/>
        <w:ind w:start="360" w:end="0"/>
        <w:jc w:val="both"/>
        <w:rPr/>
      </w:pPr>
      <w:r>
        <w:rPr>
          <w:rFonts w:cs="Arial Narrow" w:ascii="Arial Narrow" w:hAnsi="Arial Narrow"/>
          <w:b/>
          <w:i/>
          <w:iCs/>
          <w:sz w:val="18"/>
          <w:u w:val="single"/>
        </w:rPr>
        <w:t>“</w:t>
      </w:r>
      <w:r>
        <w:rPr>
          <w:rFonts w:cs="Arial Narrow" w:ascii="Arial Narrow" w:hAnsi="Arial Narrow"/>
          <w:b/>
          <w:i/>
          <w:iCs/>
          <w:sz w:val="18"/>
          <w:u w:val="single"/>
        </w:rPr>
        <w:t>EBITDA”</w:t>
      </w:r>
      <w:r>
        <w:rPr>
          <w:rFonts w:cs="Arial Narrow" w:ascii="Arial Narrow" w:hAnsi="Arial Narrow"/>
          <w:bCs/>
          <w:sz w:val="18"/>
        </w:rPr>
        <w:t xml:space="preserve"> means, with respect to Customer,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w:t>
      </w:r>
      <w:r>
        <w:rPr>
          <w:rFonts w:cs="Arial Narrow" w:ascii="Arial Narrow" w:hAnsi="Arial Narrow"/>
          <w:bCs/>
        </w:rPr>
        <w:t xml:space="preserve"> </w:t>
      </w:r>
      <w:r>
        <w:rPr>
          <w:rFonts w:cs="Arial Narrow" w:ascii="Arial Narrow" w:hAnsi="Arial Narrow"/>
          <w:bCs/>
          <w:sz w:val="18"/>
        </w:rPr>
        <w:t xml:space="preserve">to other (a) non-cash operating charges and (b) </w:t>
      </w:r>
      <w:r>
        <w:rPr>
          <w:rFonts w:cs="Arial Narrow" w:ascii="Arial Narrow" w:hAnsi="Arial Narrow"/>
          <w:sz w:val="18"/>
        </w:rPr>
        <w:t xml:space="preserve">non-cash non-operating charges for such period, and (v) all consolidated extraordinary non-cash charges for such person during such period </w:t>
      </w:r>
      <w:r>
        <w:rPr>
          <w:rFonts w:cs="Arial Narrow" w:ascii="Arial Narrow" w:hAnsi="Arial Narrow"/>
          <w:sz w:val="18"/>
          <w:u w:val="single"/>
        </w:rPr>
        <w:t>minus</w:t>
      </w:r>
      <w:r>
        <w:rPr>
          <w:rFonts w:cs="Arial Narrow" w:ascii="Arial Narrow" w:hAnsi="Arial Narrow"/>
          <w:sz w:val="18"/>
        </w:rPr>
        <w:t>, without duplication, all consolidated extraordinary gains for such person during such period.</w:t>
      </w:r>
    </w:p>
    <w:p>
      <w:pPr>
        <w:pStyle w:val="Normal"/>
        <w:ind w:start="360" w:end="0"/>
        <w:jc w:val="both"/>
        <w:rPr/>
      </w:pPr>
      <w:r>
        <w:rPr>
          <w:rFonts w:cs="Arial Narrow" w:ascii="Arial Narrow" w:hAnsi="Arial Narrow"/>
          <w:b/>
          <w:i/>
          <w:iCs/>
          <w:sz w:val="18"/>
          <w:u w:val="single"/>
        </w:rPr>
        <w:t>“</w:t>
      </w:r>
      <w:r>
        <w:rPr>
          <w:rFonts w:cs="Arial Narrow" w:ascii="Arial Narrow" w:hAnsi="Arial Narrow"/>
          <w:b/>
          <w:i/>
          <w:iCs/>
          <w:sz w:val="18"/>
          <w:u w:val="single"/>
        </w:rPr>
        <w:t>EBITDA Coverage Ratio”</w:t>
      </w:r>
      <w:r>
        <w:rPr>
          <w:rFonts w:cs="Arial Narrow" w:ascii="Arial Narrow" w:hAnsi="Arial Narrow"/>
          <w:sz w:val="18"/>
        </w:rPr>
        <w:t xml:space="preserve"> means, with respect to any period, the ratio of (i) EBITDA for such period to (ii) the aggregate amount of Interest Expense for such period.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b/>
          <w:sz w:val="18"/>
          <w:u w:val="single"/>
        </w:rPr>
        <w:t>“</w:t>
      </w:r>
      <w:r>
        <w:rPr>
          <w:rFonts w:cs="Arial Narrow" w:ascii="Arial Narrow" w:hAnsi="Arial Narrow"/>
          <w:b/>
          <w:sz w:val="18"/>
          <w:u w:val="single"/>
        </w:rPr>
        <w:t>In</w:t>
      </w:r>
      <w:r>
        <w:rPr>
          <w:rFonts w:cs="Arial Narrow" w:ascii="Arial Narrow" w:hAnsi="Arial Narrow"/>
          <w:b/>
          <w:i/>
          <w:iCs/>
          <w:sz w:val="18"/>
          <w:u w:val="single"/>
        </w:rPr>
        <w:t>terest Expense”</w:t>
      </w:r>
      <w:r>
        <w:rPr>
          <w:rFonts w:cs="Arial Narrow" w:ascii="Arial Narrow" w:hAnsi="Arial Narrow"/>
          <w:sz w:val="18"/>
        </w:rPr>
        <w:t xml:space="preserve"> means, for any period, without duplication, the total consolidated interest expense of Customer,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w:t>
      </w:r>
      <w:r>
        <w:rPr>
          <w:sz w:val="18"/>
        </w:rPr>
        <w:t xml:space="preserve"> </w:t>
      </w:r>
      <w:r>
        <w:rPr>
          <w:rFonts w:cs="Arial Narrow" w:ascii="Arial Narrow" w:hAnsi="Arial Narrow"/>
          <w:sz w:val="18"/>
        </w:rPr>
        <w:t>(vii) consolidated interest actually paid by Customer, under any guarantee of indebtedness or other obligations of any other person.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long-term debt unsupported by third party credit enhancement that is rated by Standard &amp; Poor's Corporation below BBB- or (ii) with respect to Customer, Customer  shall have any of the following occurring at any time (a) the ratio of its Funded Debt  to its Net Worth is greater than 2 to 1; or (b) that ratio of its  EBITDA to Interest Expense is less than 2 to 1, or (c) long-term debt unsupported by third party credit enhancement that is rated by Standard &amp; Poor's Corporation below A.</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xml:space="preserve">" means a period of time beginning at midnight C.T. on the first Day of any calendar Month and ending at midnight C.T. on the first Day of the following calendar Month. </w:t>
      </w:r>
    </w:p>
    <w:p>
      <w:pPr>
        <w:pStyle w:val="Normal"/>
        <w:ind w:start="360" w:end="0"/>
        <w:jc w:val="both"/>
        <w:rPr/>
      </w:pPr>
      <w:r>
        <w:rPr>
          <w:rFonts w:cs="Arial Narrow" w:ascii="Arial Narrow" w:hAnsi="Arial Narrow"/>
          <w:b/>
          <w:i/>
          <w:iCs/>
          <w:sz w:val="18"/>
          <w:u w:val="single"/>
        </w:rPr>
        <w:t>“</w:t>
      </w:r>
      <w:r>
        <w:rPr>
          <w:rFonts w:cs="Arial Narrow" w:ascii="Arial Narrow" w:hAnsi="Arial Narrow"/>
          <w:b/>
          <w:i/>
          <w:iCs/>
          <w:sz w:val="18"/>
          <w:u w:val="single"/>
        </w:rPr>
        <w:t>Net Income”</w:t>
      </w:r>
      <w:r>
        <w:rPr>
          <w:rFonts w:cs="Arial Narrow" w:ascii="Arial Narrow" w:hAnsi="Arial Narrow"/>
          <w:sz w:val="18"/>
        </w:rPr>
        <w:t xml:space="preserve"> means consolidated gross revenues of Customer and other proper income credits, less all proper income charges, including taxes on income, all determined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xml:space="preserve">.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w:t>
      </w:r>
      <w:r>
        <w:rPr>
          <w:rFonts w:cs="Arial Narrow" w:ascii="Arial Narrow" w:hAnsi="Arial Narrow"/>
          <w:b/>
          <w:sz w:val="18"/>
        </w:rPr>
        <w:t>[</w:t>
      </w:r>
      <w:r>
        <w:rPr>
          <w:rFonts w:cs="Arial Narrow" w:ascii="Arial Narrow" w:hAnsi="Arial Narrow"/>
          <w:sz w:val="18"/>
        </w:rPr>
        <w:t>or its Guarantor</w:t>
      </w:r>
      <w:r>
        <w:rPr>
          <w:rFonts w:cs="Arial Narrow" w:ascii="Arial Narrow" w:hAnsi="Arial Narrow"/>
          <w:b/>
          <w:sz w:val="18"/>
        </w:rPr>
        <w:t>]</w:t>
      </w:r>
      <w:r>
        <w:rPr>
          <w:rFonts w:cs="Arial Narrow" w:ascii="Arial Narrow" w:hAnsi="Arial Narrow"/>
          <w:sz w:val="18"/>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Wisconsin Electric Power Co.</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___________________________________________________________________________________________________________________________________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both"/>
        <w:rPr>
          <w:rFonts w:ascii="Arial Narrow" w:hAnsi="Arial Narrow" w:cs="Arial Narrow"/>
          <w:b/>
          <w:sz w:val="18"/>
        </w:rPr>
      </w:pPr>
      <w:r>
        <w:rPr>
          <w:rFonts w:cs="Arial Narrow" w:ascii="Arial Narrow" w:hAnsi="Arial Narrow"/>
          <w:b/>
          <w:sz w:val="18"/>
        </w:rPr>
      </w:r>
    </w:p>
    <w:sectPr>
      <w:footerReference w:type="default" r:id="rId14"/>
      <w:footerReference w:type="first" r:id="rId15"/>
      <w:type w:val="nextPage"/>
      <w:pgSz w:w="12240" w:h="15840"/>
      <w:pgMar w:left="720" w:right="72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360" w:end="0"/>
      <w:jc w:val="both"/>
    </w:pPr>
    <w:rPr>
      <w:bCs/>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2001-03-15T19:26:00Z</dcterms:created>
  <dc:creator>dperlin</dc:creator>
  <dc:description/>
  <dc:language>en-CA</dc:language>
  <cp:lastModifiedBy>dperlin</cp:lastModifiedBy>
  <cp:lastPrinted>2001-03-16T11:44:00Z</cp:lastPrinted>
  <dcterms:modified xsi:type="dcterms:W3CDTF">2001-03-16T15:26:00Z</dcterms:modified>
  <cp:revision>7</cp:revision>
  <dc:subject/>
  <dc:title>ENFOLIO® MASTER FIRM PURCHASE/SALE AGREEMENT</dc:title>
</cp:coreProperties>
</file>