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220"/>
        <w:gridCol w:w="990"/>
        <w:gridCol w:w="2790"/>
      </w:tblGrid>
      <w:tr>
        <w:trPr>
          <w:trHeight w:val="300" w:hRule="exact"/>
        </w:trPr>
        <w:tc>
          <w:tcPr>
            <w:tcW w:w="708" w:type="dxa"/>
            <w:tcBorders/>
          </w:tcPr>
          <w:p>
            <w:pPr>
              <w:pStyle w:val="Normal"/>
              <w:ind w:start="-180" w:end="0"/>
              <w:jc w:val="end"/>
              <w:rPr>
                <w:sz w:val="16"/>
              </w:rPr>
            </w:pPr>
            <w:r>
              <w:rPr>
                <w:sz w:val="16"/>
              </w:rPr>
              <w:t>To:</w:t>
            </w:r>
          </w:p>
        </w:tc>
        <w:tc>
          <w:tcPr>
            <w:tcW w:w="6220" w:type="dxa"/>
            <w:tcBorders/>
          </w:tcPr>
          <w:p>
            <w:pPr>
              <w:pStyle w:val="To"/>
              <w:rPr/>
            </w:pPr>
            <w:r>
              <w:rPr/>
              <w:t xml:space="preserve">Jim </w:t>
            </w:r>
          </w:p>
        </w:tc>
        <w:tc>
          <w:tcPr>
            <w:tcW w:w="990" w:type="dxa"/>
            <w:tcBorders/>
          </w:tcPr>
          <w:p>
            <w:pPr>
              <w:pStyle w:val="Normal"/>
              <w:snapToGrid w:val="false"/>
              <w:ind w:start="-180" w:end="0"/>
              <w:rPr/>
            </w:pPr>
            <w:r>
              <w:rPr/>
            </w:r>
          </w:p>
        </w:tc>
        <w:tc>
          <w:tcPr>
            <w:tcW w:w="2790"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22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790"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220" w:type="dxa"/>
            <w:tcBorders/>
          </w:tcPr>
          <w:p>
            <w:pPr>
              <w:pStyle w:val="From"/>
              <w:rPr/>
            </w:pPr>
            <w:r>
              <w:rPr/>
              <w:t>Jennifer Thome</w:t>
            </w:r>
          </w:p>
        </w:tc>
        <w:tc>
          <w:tcPr>
            <w:tcW w:w="990" w:type="dxa"/>
            <w:tcBorders/>
          </w:tcPr>
          <w:p>
            <w:pPr>
              <w:pStyle w:val="Normal"/>
              <w:snapToGrid w:val="false"/>
              <w:ind w:start="-180" w:end="0"/>
              <w:jc w:val="end"/>
              <w:rPr>
                <w:sz w:val="16"/>
              </w:rPr>
            </w:pPr>
            <w:r>
              <w:rPr>
                <w:sz w:val="16"/>
              </w:rPr>
            </w:r>
          </w:p>
        </w:tc>
        <w:tc>
          <w:tcPr>
            <w:tcW w:w="2790"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22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790"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220" w:type="dxa"/>
            <w:tcBorders>
              <w:bottom w:val="single" w:sz="12" w:space="0" w:color="000000"/>
            </w:tcBorders>
          </w:tcPr>
          <w:p>
            <w:pPr>
              <w:pStyle w:val="Subject"/>
              <w:rPr/>
            </w:pPr>
            <w:r>
              <w:rPr/>
              <w:t xml:space="preserve">Synopsis: </w:t>
            </w:r>
            <w:r>
              <w:rPr>
                <w:rFonts w:cs="Arial" w:ascii="Arial (W1)" w:hAnsi="Arial (W1)"/>
                <w:b/>
                <w:bCs/>
                <w:color w:val="000000"/>
              </w:rPr>
              <w:t>SBX2 1, Electric Windfall Profits Tax</w:t>
            </w:r>
            <w:r>
              <w:rPr>
                <w:rFonts w:cs="Arial" w:ascii="Arial (W1)" w:hAnsi="Arial (W1)"/>
                <w:b/>
                <w:bCs/>
                <w:i/>
                <w:iCs/>
                <w:color w:val="000000"/>
              </w:rPr>
              <w:t xml:space="preserve"> </w:t>
            </w:r>
            <w:r>
              <w:rPr>
                <w:rFonts w:cs="Arial" w:ascii="Arial (W1)" w:hAnsi="Arial (W1)"/>
                <w:b/>
                <w:bCs/>
                <w:color w:val="000000"/>
              </w:rPr>
              <w:t>(Soto and Scott)</w:t>
            </w:r>
            <w:r>
              <w:rPr>
                <w:rFonts w:cs="Arial" w:ascii="Arial (W1)" w:hAnsi="Arial (W1)"/>
                <w:color w:val="000000"/>
              </w:rPr>
              <w:t xml:space="preserve"> </w:t>
            </w:r>
            <w:r>
              <w:rPr/>
              <w:t>(as amended on 9/27/01)</w:t>
            </w:r>
          </w:p>
        </w:tc>
        <w:tc>
          <w:tcPr>
            <w:tcW w:w="990" w:type="dxa"/>
            <w:tcBorders>
              <w:bottom w:val="single" w:sz="12" w:space="0" w:color="000000"/>
            </w:tcBorders>
          </w:tcPr>
          <w:p>
            <w:pPr>
              <w:pStyle w:val="Normal"/>
              <w:ind w:start="-180" w:end="0"/>
              <w:jc w:val="end"/>
              <w:rPr>
                <w:sz w:val="16"/>
              </w:rPr>
            </w:pPr>
            <w:r>
              <w:rPr>
                <w:sz w:val="16"/>
              </w:rPr>
              <w:t>Date:</w:t>
            </w:r>
          </w:p>
        </w:tc>
        <w:tc>
          <w:tcPr>
            <w:tcW w:w="2790"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Normal"/>
        <w:tabs>
          <w:tab w:val="clear" w:pos="540"/>
        </w:tabs>
        <w:overflowPunct w:val="true"/>
        <w:textAlignment w:val="auto"/>
        <w:rPr>
          <w:rFonts w:cs="Arial"/>
          <w:color w:val="0000FF"/>
          <w:sz w:val="20"/>
        </w:rPr>
      </w:pPr>
      <w:r>
        <w:rPr>
          <w:rFonts w:cs="Arial"/>
          <w:color w:val="0000FF"/>
          <w:sz w:val="20"/>
        </w:rPr>
      </w:r>
      <w:bookmarkStart w:id="2" w:name="StartOfMemo"/>
      <w:bookmarkStart w:id="3" w:name="StartOfMemo"/>
      <w:bookmarkEnd w:id="3"/>
    </w:p>
    <w:p>
      <w:pPr>
        <w:pStyle w:val="Heading1"/>
        <w:ind w:hanging="0" w:start="0"/>
        <w:rPr>
          <w:b/>
          <w:bCs/>
        </w:rPr>
      </w:pPr>
      <w:r>
        <w:rPr>
          <w:b/>
          <w:bCs/>
        </w:rPr>
        <w:t>Summary</w:t>
      </w:r>
    </w:p>
    <w:p>
      <w:pPr>
        <w:pStyle w:val="BodyText"/>
        <w:numPr>
          <w:ilvl w:val="0"/>
          <w:numId w:val="3"/>
        </w:numPr>
        <w:rPr/>
      </w:pPr>
      <w:r>
        <w:rPr/>
        <w:t>Imposes a windfall profits tax on persons who sell electricity in CA at rates exceeding a specified base price and creates a refundable personal income tax credit available to CA taxpayers for each taxable year on or after 1/1/01.</w:t>
      </w:r>
    </w:p>
    <w:p>
      <w:pPr>
        <w:pStyle w:val="Normal"/>
        <w:tabs>
          <w:tab w:val="clear" w:pos="540"/>
        </w:tabs>
        <w:overflowPunct w:val="true"/>
        <w:textAlignment w:val="auto"/>
        <w:rPr>
          <w:rFonts w:ascii="Arial (W1)" w:hAnsi="Arial (W1)" w:cs="Arial"/>
          <w:color w:val="000000"/>
          <w:sz w:val="20"/>
        </w:rPr>
      </w:pPr>
      <w:r>
        <w:rPr>
          <w:rFonts w:cs="Arial" w:ascii="Arial (W1)" w:hAnsi="Arial (W1)"/>
          <w:color w:val="000000"/>
          <w:sz w:val="20"/>
        </w:rPr>
      </w:r>
    </w:p>
    <w:p>
      <w:pPr>
        <w:pStyle w:val="Normal"/>
        <w:tabs>
          <w:tab w:val="clear" w:pos="540"/>
        </w:tabs>
        <w:overflowPunct w:val="true"/>
        <w:textAlignment w:val="auto"/>
        <w:rPr/>
      </w:pPr>
      <w:r>
        <w:rPr>
          <w:rFonts w:cs="Arial" w:ascii="Arial (W1)" w:hAnsi="Arial (W1)"/>
          <w:i/>
          <w:iCs/>
          <w:color w:val="000000"/>
          <w:sz w:val="20"/>
        </w:rPr>
        <w:t>Who would bear the brunt of the costs?</w:t>
      </w:r>
      <w:r>
        <w:rPr>
          <w:rFonts w:cs="Arial" w:ascii="Arial (W1)" w:hAnsi="Arial (W1)"/>
          <w:color w:val="000000"/>
          <w:sz w:val="20"/>
        </w:rPr>
        <w:t xml:space="preserve"> Non-local publicly owned utilities or QF sellers</w:t>
      </w:r>
      <w:r>
        <w:rPr>
          <w:rStyle w:val="FootnoteCharacters"/>
          <w:rStyle w:val="FootnoteReference"/>
          <w:rFonts w:cs="Arial" w:ascii="Arial (W1)" w:hAnsi="Arial (W1)"/>
          <w:color w:val="000000"/>
          <w:sz w:val="20"/>
        </w:rPr>
        <w:footnoteReference w:id="2"/>
      </w:r>
      <w:r>
        <w:rPr>
          <w:rFonts w:cs="Arial" w:ascii="Arial (W1)" w:hAnsi="Arial (W1)"/>
          <w:color w:val="000000"/>
          <w:sz w:val="20"/>
        </w:rPr>
        <w:t xml:space="preserve"> of electricity with contracts executed on or after the effective date</w:t>
      </w:r>
      <w:r>
        <w:rPr>
          <w:rStyle w:val="FootnoteCharacters"/>
          <w:rStyle w:val="FootnoteReference"/>
          <w:rFonts w:cs="Arial" w:ascii="Arial (W1)" w:hAnsi="Arial (W1)"/>
          <w:color w:val="000000"/>
          <w:sz w:val="20"/>
        </w:rPr>
        <w:footnoteReference w:id="3"/>
      </w:r>
      <w:r>
        <w:rPr>
          <w:rFonts w:cs="Arial" w:ascii="Arial (W1)" w:hAnsi="Arial (W1)"/>
          <w:color w:val="000000"/>
          <w:sz w:val="20"/>
        </w:rPr>
        <w:t xml:space="preserve"> of this bill.</w:t>
      </w:r>
    </w:p>
    <w:p>
      <w:pPr>
        <w:pStyle w:val="Normal"/>
        <w:tabs>
          <w:tab w:val="clear" w:pos="540"/>
        </w:tabs>
        <w:overflowPunct w:val="true"/>
        <w:textAlignment w:val="auto"/>
        <w:rPr>
          <w:rFonts w:ascii="Arial (W1)" w:hAnsi="Arial (W1)" w:cs="Arial"/>
          <w:i/>
          <w:i/>
          <w:iCs/>
          <w:color w:val="000000"/>
          <w:sz w:val="20"/>
        </w:rPr>
      </w:pPr>
      <w:r>
        <w:rPr>
          <w:rFonts w:cs="Arial" w:ascii="Arial (W1)" w:hAnsi="Arial (W1)"/>
          <w:i/>
          <w:iCs/>
          <w:color w:val="000000"/>
          <w:sz w:val="20"/>
        </w:rPr>
      </w:r>
    </w:p>
    <w:p>
      <w:pPr>
        <w:pStyle w:val="Normal"/>
        <w:tabs>
          <w:tab w:val="clear" w:pos="540"/>
        </w:tabs>
        <w:overflowPunct w:val="true"/>
        <w:textAlignment w:val="auto"/>
        <w:rPr/>
      </w:pPr>
      <w:r>
        <w:rPr>
          <w:rFonts w:cs="Arial" w:ascii="Arial (W1)" w:hAnsi="Arial (W1)"/>
          <w:i/>
          <w:iCs/>
          <w:color w:val="000000"/>
          <w:sz w:val="20"/>
        </w:rPr>
        <w:t>Mechanism:</w:t>
      </w:r>
      <w:r>
        <w:rPr>
          <w:rFonts w:cs="Arial" w:ascii="Arial (W1)" w:hAnsi="Arial (W1)"/>
          <w:color w:val="000000"/>
          <w:sz w:val="20"/>
        </w:rPr>
        <w:t xml:space="preserve"> The tax is “equal to that portion of the sales price of electricity that exceeds the base price”.  Presumably, this would take the form of $/MWh, although this is not specified in the bill. </w:t>
      </w:r>
    </w:p>
    <w:p>
      <w:pPr>
        <w:pStyle w:val="Normal"/>
        <w:tabs>
          <w:tab w:val="clear" w:pos="540"/>
        </w:tabs>
        <w:overflowPunct w:val="true"/>
        <w:textAlignment w:val="auto"/>
        <w:rPr>
          <w:rFonts w:ascii="Arial (W1)" w:hAnsi="Arial (W1)" w:cs="Arial"/>
          <w:color w:val="000000"/>
          <w:sz w:val="20"/>
        </w:rPr>
      </w:pPr>
      <w:r>
        <w:rPr>
          <w:rFonts w:cs="Arial" w:ascii="Arial (W1)" w:hAnsi="Arial (W1)"/>
          <w:color w:val="000000"/>
          <w:sz w:val="20"/>
        </w:rPr>
      </w:r>
    </w:p>
    <w:p>
      <w:pPr>
        <w:pStyle w:val="Heading1"/>
        <w:ind w:hanging="0" w:start="0"/>
        <w:rPr>
          <w:b/>
          <w:bCs/>
        </w:rPr>
      </w:pPr>
      <w:r>
        <w:rPr>
          <w:b/>
          <w:bCs/>
        </w:rPr>
        <w:t>Status</w:t>
      </w:r>
    </w:p>
    <w:p>
      <w:pPr>
        <w:pStyle w:val="Normal"/>
        <w:rPr>
          <w:rFonts w:ascii="Arial (W1)" w:hAnsi="Arial (W1)" w:cs="Arial"/>
          <w:color w:val="000000"/>
          <w:sz w:val="20"/>
        </w:rPr>
      </w:pPr>
      <w:r>
        <w:rPr>
          <w:rFonts w:cs="Arial" w:ascii="Arial (W1)" w:hAnsi="Arial (W1)"/>
          <w:color w:val="000000"/>
          <w:sz w:val="20"/>
        </w:rPr>
        <w:t>Last amended on 9/27.  Vote is expected on 9/30.</w:t>
      </w:r>
    </w:p>
    <w:p>
      <w:pPr>
        <w:pStyle w:val="Normal"/>
        <w:tabs>
          <w:tab w:val="clear" w:pos="540"/>
        </w:tabs>
        <w:overflowPunct w:val="true"/>
        <w:textAlignment w:val="auto"/>
        <w:rPr>
          <w:rFonts w:ascii="Arial (W1)" w:hAnsi="Arial (W1)" w:cs="Arial"/>
          <w:color w:val="000000"/>
          <w:sz w:val="20"/>
        </w:rPr>
      </w:pPr>
      <w:r>
        <w:rPr>
          <w:rFonts w:cs="Arial" w:ascii="Arial (W1)" w:hAnsi="Arial (W1)"/>
          <w:color w:val="000000"/>
          <w:sz w:val="20"/>
        </w:rPr>
      </w:r>
    </w:p>
    <w:p>
      <w:pPr>
        <w:pStyle w:val="Heading1"/>
        <w:ind w:hanging="0" w:start="0"/>
        <w:rPr>
          <w:b/>
          <w:bCs/>
        </w:rPr>
      </w:pPr>
      <w:r>
        <w:rPr>
          <w:b/>
          <w:bCs/>
        </w:rPr>
        <w:t>Additional Details/Definitions</w:t>
      </w:r>
    </w:p>
    <w:p>
      <w:pPr>
        <w:pStyle w:val="Normal"/>
        <w:tabs>
          <w:tab w:val="clear" w:pos="540"/>
        </w:tabs>
        <w:overflowPunct w:val="true"/>
        <w:textAlignment w:val="auto"/>
        <w:rPr>
          <w:rFonts w:ascii="Arial (W1)" w:hAnsi="Arial (W1)" w:cs="Arial"/>
          <w:b/>
          <w:bCs/>
          <w:color w:val="000000"/>
          <w:sz w:val="20"/>
        </w:rPr>
      </w:pPr>
      <w:r>
        <w:rPr>
          <w:rFonts w:cs="Arial" w:ascii="Arial (W1)" w:hAnsi="Arial (W1)"/>
          <w:b/>
          <w:bCs/>
          <w:color w:val="000000"/>
          <w:sz w:val="20"/>
        </w:rPr>
      </w:r>
    </w:p>
    <w:p>
      <w:pPr>
        <w:pStyle w:val="Normal"/>
        <w:tabs>
          <w:tab w:val="clear" w:pos="540"/>
        </w:tabs>
        <w:overflowPunct w:val="true"/>
        <w:textAlignment w:val="auto"/>
        <w:rPr>
          <w:rFonts w:ascii="Arial (W1)" w:hAnsi="Arial (W1)" w:cs="Arial"/>
          <w:color w:val="000000"/>
          <w:sz w:val="20"/>
        </w:rPr>
      </w:pPr>
      <w:r>
        <w:rPr>
          <w:rFonts w:cs="Arial" w:ascii="Arial (W1)" w:hAnsi="Arial (W1)"/>
          <w:i/>
          <w:iCs/>
          <w:color w:val="000000"/>
          <w:sz w:val="20"/>
        </w:rPr>
        <w:t>Collection</w:t>
      </w:r>
    </w:p>
    <w:p>
      <w:pPr>
        <w:pStyle w:val="Normal"/>
        <w:tabs>
          <w:tab w:val="clear" w:pos="540"/>
        </w:tabs>
        <w:overflowPunct w:val="true"/>
        <w:ind w:start="288" w:end="0"/>
        <w:textAlignment w:val="auto"/>
        <w:rPr>
          <w:rFonts w:ascii="Arial (W1)" w:hAnsi="Arial (W1)" w:cs="Arial"/>
          <w:color w:val="000000"/>
          <w:sz w:val="20"/>
        </w:rPr>
      </w:pPr>
      <w:r>
        <w:rPr>
          <w:rFonts w:cs="Arial" w:ascii="Arial (W1)" w:hAnsi="Arial (W1)"/>
          <w:color w:val="000000"/>
          <w:sz w:val="20"/>
        </w:rPr>
        <w:t xml:space="preserve">The CAISO, any utility distribution company or any other person or entity required to process sales of electricity would be required to withhold from payments to the seller 100% of that portion of the sales price subject to the tax. This amount would then be remitted to the Franchise Tax Board along with an information return in the month immediately following the month in which the sale occurred.  </w:t>
      </w:r>
    </w:p>
    <w:p>
      <w:pPr>
        <w:pStyle w:val="Normal"/>
        <w:tabs>
          <w:tab w:val="clear" w:pos="540"/>
        </w:tabs>
        <w:overflowPunct w:val="true"/>
        <w:textAlignment w:val="auto"/>
        <w:rPr>
          <w:rFonts w:ascii="Arial (W1)" w:hAnsi="Arial (W1)" w:cs="Arial"/>
          <w:color w:val="000000"/>
          <w:sz w:val="20"/>
        </w:rPr>
      </w:pPr>
      <w:r>
        <w:rPr>
          <w:rFonts w:cs="Arial" w:ascii="Arial (W1)" w:hAnsi="Arial (W1)"/>
          <w:color w:val="000000"/>
          <w:sz w:val="20"/>
        </w:rPr>
      </w:r>
    </w:p>
    <w:p>
      <w:pPr>
        <w:pStyle w:val="Normal"/>
        <w:tabs>
          <w:tab w:val="clear" w:pos="540"/>
        </w:tabs>
        <w:overflowPunct w:val="true"/>
        <w:textAlignment w:val="auto"/>
        <w:rPr>
          <w:rFonts w:ascii="Arial (W1)" w:hAnsi="Arial (W1)" w:cs="Arial"/>
          <w:color w:val="000000"/>
          <w:sz w:val="20"/>
        </w:rPr>
      </w:pPr>
      <w:r>
        <w:rPr>
          <w:rFonts w:cs="Arial" w:ascii="Arial (W1)" w:hAnsi="Arial (W1)"/>
          <w:i/>
          <w:iCs/>
          <w:color w:val="000000"/>
          <w:sz w:val="20"/>
        </w:rPr>
        <w:t>Exceptions</w:t>
      </w:r>
    </w:p>
    <w:p>
      <w:pPr>
        <w:pStyle w:val="Normal"/>
        <w:numPr>
          <w:ilvl w:val="0"/>
          <w:numId w:val="4"/>
        </w:numPr>
        <w:tabs>
          <w:tab w:val="clear" w:pos="540"/>
        </w:tabs>
        <w:overflowPunct w:val="true"/>
        <w:textAlignment w:val="auto"/>
        <w:rPr>
          <w:rFonts w:ascii="Arial (W1)" w:hAnsi="Arial (W1)" w:cs="Arial"/>
          <w:color w:val="000000"/>
          <w:sz w:val="20"/>
        </w:rPr>
      </w:pPr>
      <w:r>
        <w:rPr>
          <w:rFonts w:cs="Arial" w:ascii="Arial (W1)" w:hAnsi="Arial (W1)"/>
          <w:color w:val="000000"/>
          <w:sz w:val="20"/>
        </w:rPr>
        <w:t xml:space="preserve">Sales of electricity made pursuant to a binding written contract executed on or before the effective date of this bill. </w:t>
      </w:r>
    </w:p>
    <w:p>
      <w:pPr>
        <w:pStyle w:val="Normal"/>
        <w:numPr>
          <w:ilvl w:val="0"/>
          <w:numId w:val="4"/>
        </w:numPr>
        <w:tabs>
          <w:tab w:val="clear" w:pos="540"/>
        </w:tabs>
        <w:overflowPunct w:val="true"/>
        <w:textAlignment w:val="auto"/>
        <w:rPr>
          <w:rFonts w:ascii="Arial (W1)" w:hAnsi="Arial (W1)" w:cs="Arial"/>
          <w:color w:val="000000"/>
          <w:sz w:val="20"/>
        </w:rPr>
      </w:pPr>
      <w:r>
        <w:rPr>
          <w:rFonts w:cs="Arial" w:ascii="Arial (W1)" w:hAnsi="Arial (W1)"/>
          <w:color w:val="000000"/>
          <w:sz w:val="20"/>
        </w:rPr>
        <w:t xml:space="preserve">Generators of renewable energy sources, qualifying small power production facilities or qualifying cogeneration facilities. </w:t>
      </w:r>
    </w:p>
    <w:p>
      <w:pPr>
        <w:pStyle w:val="Normal"/>
        <w:numPr>
          <w:ilvl w:val="0"/>
          <w:numId w:val="4"/>
        </w:numPr>
        <w:tabs>
          <w:tab w:val="clear" w:pos="540"/>
        </w:tabs>
        <w:overflowPunct w:val="true"/>
        <w:textAlignment w:val="auto"/>
        <w:rPr>
          <w:rFonts w:ascii="Arial (W1)" w:hAnsi="Arial (W1)" w:cs="Arial"/>
          <w:color w:val="000000"/>
          <w:sz w:val="20"/>
        </w:rPr>
      </w:pPr>
      <w:r>
        <w:rPr>
          <w:rFonts w:cs="Arial" w:ascii="Arial (W1)" w:hAnsi="Arial (W1)"/>
          <w:color w:val="000000"/>
          <w:sz w:val="20"/>
        </w:rPr>
        <w:t>Sales of electricity made by local publicly owned utilities made under specified conditions.</w:t>
      </w:r>
    </w:p>
    <w:p>
      <w:pPr>
        <w:pStyle w:val="Normal"/>
        <w:tabs>
          <w:tab w:val="clear" w:pos="540"/>
        </w:tabs>
        <w:overflowPunct w:val="true"/>
        <w:ind w:start="360" w:end="0"/>
        <w:textAlignment w:val="auto"/>
        <w:rPr>
          <w:rFonts w:ascii="Arial (W1)" w:hAnsi="Arial (W1)" w:cs="Arial"/>
          <w:color w:val="000000"/>
          <w:sz w:val="20"/>
        </w:rPr>
      </w:pPr>
      <w:r>
        <w:rPr>
          <w:rFonts w:cs="Arial" w:ascii="Arial (W1)" w:hAnsi="Arial (W1)"/>
          <w:color w:val="000000"/>
          <w:sz w:val="20"/>
        </w:rPr>
      </w:r>
    </w:p>
    <w:p>
      <w:pPr>
        <w:pStyle w:val="Footer"/>
        <w:tabs>
          <w:tab w:val="clear" w:pos="4320"/>
          <w:tab w:val="clear" w:pos="8640"/>
          <w:tab w:val="left" w:pos="540" w:leader="none"/>
        </w:tabs>
        <w:rPr/>
      </w:pPr>
      <w:r>
        <w:rPr>
          <w:rFonts w:cs="Arial" w:ascii="Arial (W1)" w:hAnsi="Arial (W1)"/>
          <w:i/>
          <w:iCs/>
          <w:color w:val="000000"/>
          <w:sz w:val="20"/>
        </w:rPr>
        <w:t>Definitions</w:t>
      </w:r>
      <w:r>
        <w:rPr>
          <w:rFonts w:cs="Arial" w:ascii="Arial (W1)" w:hAnsi="Arial (W1)"/>
          <w:color w:val="000000"/>
          <w:sz w:val="20"/>
        </w:rPr>
        <w:t xml:space="preserve"> </w:t>
      </w:r>
    </w:p>
    <w:p>
      <w:pPr>
        <w:pStyle w:val="Footer"/>
        <w:numPr>
          <w:ilvl w:val="0"/>
          <w:numId w:val="2"/>
        </w:numPr>
        <w:tabs>
          <w:tab w:val="clear" w:pos="4320"/>
          <w:tab w:val="clear" w:pos="8640"/>
          <w:tab w:val="left" w:pos="540" w:leader="none"/>
        </w:tabs>
        <w:rPr>
          <w:rFonts w:ascii="Arial (W1)" w:hAnsi="Arial (W1)" w:cs="Arial"/>
          <w:color w:val="000000"/>
          <w:sz w:val="20"/>
        </w:rPr>
      </w:pPr>
      <w:r>
        <w:rPr>
          <w:rFonts w:cs="Arial" w:ascii="Arial (W1)" w:hAnsi="Arial (W1)"/>
          <w:color w:val="000000"/>
          <w:sz w:val="20"/>
        </w:rPr>
        <w:t>“</w:t>
      </w:r>
      <w:r>
        <w:rPr>
          <w:rFonts w:cs="Arial" w:ascii="Arial (W1)" w:hAnsi="Arial (W1)"/>
          <w:color w:val="000000"/>
          <w:sz w:val="20"/>
        </w:rPr>
        <w:t xml:space="preserve">Base price”: Prices developed and approved by the CPUC on a plant-by-plant basis that is equivalent to cost based rates.  A seller may file a claim for a refund if they can demonstrate that the base price does not reflect the seller’s actual costs. </w:t>
      </w:r>
    </w:p>
    <w:p>
      <w:pPr>
        <w:pStyle w:val="Footer"/>
        <w:tabs>
          <w:tab w:val="clear" w:pos="4320"/>
          <w:tab w:val="clear" w:pos="8640"/>
          <w:tab w:val="left" w:pos="540" w:leader="none"/>
        </w:tabs>
        <w:ind w:start="360" w:end="0"/>
        <w:rPr>
          <w:rFonts w:ascii="Arial (W1)" w:hAnsi="Arial (W1)" w:cs="Arial"/>
          <w:color w:val="000000"/>
          <w:sz w:val="20"/>
        </w:rPr>
      </w:pPr>
      <w:r>
        <w:rPr>
          <w:rFonts w:cs="Arial" w:ascii="Arial (W1)" w:hAnsi="Arial (W1)"/>
          <w:color w:val="000000"/>
          <w:sz w:val="20"/>
        </w:rPr>
      </w:r>
    </w:p>
    <w:p>
      <w:pPr>
        <w:pStyle w:val="Footer"/>
        <w:numPr>
          <w:ilvl w:val="0"/>
          <w:numId w:val="2"/>
        </w:numPr>
        <w:tabs>
          <w:tab w:val="clear" w:pos="4320"/>
          <w:tab w:val="clear" w:pos="8640"/>
          <w:tab w:val="left" w:pos="540" w:leader="none"/>
        </w:tabs>
        <w:rPr>
          <w:rFonts w:ascii="Arial (W1)" w:hAnsi="Arial (W1)" w:cs="Arial"/>
          <w:color w:val="000000"/>
          <w:sz w:val="20"/>
        </w:rPr>
      </w:pPr>
      <w:r>
        <w:rPr>
          <w:rFonts w:eastAsia="Arial (W1)" w:cs="Arial (W1)" w:ascii="Arial (W1)" w:hAnsi="Arial (W1)"/>
          <w:color w:val="000000"/>
          <w:sz w:val="20"/>
        </w:rPr>
        <w:t xml:space="preserve"> </w:t>
      </w:r>
      <w:r>
        <w:rPr>
          <w:rFonts w:cs="Arial" w:ascii="Arial (W1)" w:hAnsi="Arial (W1)"/>
          <w:color w:val="000000"/>
          <w:sz w:val="20"/>
        </w:rPr>
        <w:t>“</w:t>
      </w:r>
      <w:r>
        <w:rPr>
          <w:rFonts w:cs="Arial" w:ascii="Arial (W1)" w:hAnsi="Arial (W1)"/>
          <w:color w:val="000000"/>
          <w:sz w:val="20"/>
        </w:rPr>
        <w:t xml:space="preserve">Cost based rates”: “The cost of producing electricity, as adjusted for a reasonable allowance for profit margins and maintenance and operating expenses, as determined by the CPUC”. </w:t>
      </w:r>
    </w:p>
    <w:p>
      <w:pPr>
        <w:pStyle w:val="Footer"/>
        <w:tabs>
          <w:tab w:val="clear" w:pos="4320"/>
          <w:tab w:val="clear" w:pos="8640"/>
          <w:tab w:val="left" w:pos="540" w:leader="none"/>
        </w:tabs>
        <w:rPr>
          <w:rFonts w:ascii="Arial (W1)" w:hAnsi="Arial (W1)" w:cs="Arial"/>
          <w:color w:val="000000"/>
          <w:sz w:val="20"/>
        </w:rPr>
      </w:pPr>
      <w:r>
        <w:rPr>
          <w:rFonts w:cs="Arial" w:ascii="Arial (W1)" w:hAnsi="Arial (W1)"/>
          <w:color w:val="000000"/>
          <w:sz w:val="20"/>
        </w:rPr>
      </w:r>
    </w:p>
    <w:p>
      <w:pPr>
        <w:pStyle w:val="Footer"/>
        <w:numPr>
          <w:ilvl w:val="0"/>
          <w:numId w:val="2"/>
        </w:numPr>
        <w:tabs>
          <w:tab w:val="clear" w:pos="4320"/>
          <w:tab w:val="clear" w:pos="8640"/>
          <w:tab w:val="left" w:pos="540" w:leader="none"/>
        </w:tabs>
        <w:rPr>
          <w:rFonts w:ascii="Arial (W1)" w:hAnsi="Arial (W1)" w:cs="Arial"/>
          <w:color w:val="000000"/>
          <w:sz w:val="20"/>
        </w:rPr>
      </w:pPr>
      <w:r>
        <w:rPr>
          <w:rFonts w:cs="Arial" w:ascii="Arial (W1)" w:hAnsi="Arial (W1)"/>
          <w:color w:val="000000"/>
          <w:sz w:val="20"/>
        </w:rPr>
        <w:t>“</w:t>
      </w:r>
      <w:r>
        <w:rPr>
          <w:rFonts w:cs="Arial" w:ascii="Arial (W1)" w:hAnsi="Arial (W1)"/>
          <w:color w:val="000000"/>
          <w:sz w:val="20"/>
        </w:rPr>
        <w:t>Reasonable allowance..”: An amount up to 20% ROIC (may be adjusted by CPUC).</w:t>
      </w:r>
    </w:p>
    <w:p>
      <w:pPr>
        <w:pStyle w:val="Footer"/>
        <w:tabs>
          <w:tab w:val="clear" w:pos="4320"/>
          <w:tab w:val="clear" w:pos="8640"/>
          <w:tab w:val="left" w:pos="540" w:leader="none"/>
        </w:tabs>
        <w:rPr>
          <w:rFonts w:ascii="Arial (W1)" w:hAnsi="Arial (W1)" w:cs="Arial"/>
          <w:color w:val="000000"/>
          <w:sz w:val="20"/>
        </w:rPr>
      </w:pPr>
      <w:r>
        <w:rPr>
          <w:rFonts w:cs="Arial" w:ascii="Arial (W1)" w:hAnsi="Arial (W1)"/>
          <w:color w:val="000000"/>
          <w:sz w:val="20"/>
        </w:rPr>
      </w:r>
    </w:p>
    <w:p>
      <w:pPr>
        <w:pStyle w:val="Footer"/>
        <w:numPr>
          <w:ilvl w:val="0"/>
          <w:numId w:val="2"/>
        </w:numPr>
        <w:tabs>
          <w:tab w:val="clear" w:pos="4320"/>
          <w:tab w:val="clear" w:pos="8640"/>
          <w:tab w:val="left" w:pos="540" w:leader="none"/>
        </w:tabs>
        <w:rPr>
          <w:rFonts w:ascii="Arial (W1)" w:hAnsi="Arial (W1)" w:cs="Arial"/>
          <w:color w:val="000000"/>
          <w:sz w:val="20"/>
        </w:rPr>
      </w:pPr>
      <w:r>
        <w:rPr>
          <w:rFonts w:cs="Arial" w:ascii="Arial (W1)" w:hAnsi="Arial (W1)"/>
          <w:color w:val="000000"/>
          <w:sz w:val="20"/>
        </w:rPr>
        <w:t>“</w:t>
      </w:r>
      <w:r>
        <w:rPr>
          <w:rFonts w:cs="Arial" w:ascii="Arial (W1)" w:hAnsi="Arial (W1)"/>
          <w:color w:val="000000"/>
          <w:sz w:val="20"/>
        </w:rPr>
        <w:t xml:space="preserve">Sellers of Electricity”: “Individuals, partnerships, limited partnerships, JVs, trusts, associations, corporations, Subchapter S corporations, or any other entity that is an exempt wholesale generator, marketer, broker, or other aggregator of electricity” </w:t>
      </w:r>
    </w:p>
    <w:p>
      <w:pPr>
        <w:pStyle w:val="Footer"/>
        <w:tabs>
          <w:tab w:val="clear" w:pos="4320"/>
          <w:tab w:val="clear" w:pos="8640"/>
          <w:tab w:val="left" w:pos="540" w:leader="none"/>
        </w:tabs>
        <w:rPr>
          <w:rFonts w:ascii="Arial (W1)" w:hAnsi="Arial (W1)" w:cs="Arial"/>
          <w:color w:val="000000"/>
          <w:sz w:val="20"/>
        </w:rPr>
      </w:pPr>
      <w:r>
        <w:rPr>
          <w:rFonts w:cs="Arial" w:ascii="Arial (W1)" w:hAnsi="Arial (W1)"/>
          <w:color w:val="000000"/>
          <w:sz w:val="20"/>
        </w:rPr>
      </w:r>
    </w:p>
    <w:sectPr>
      <w:headerReference w:type="default" r:id="rId3"/>
      <w:headerReference w:type="first" r:id="rId4"/>
      <w:footerReference w:type="default" r:id="rId5"/>
      <w:footerReference w:type="first" r:id="rId6"/>
      <w:footnotePr>
        <w:numFmt w:val="decimal"/>
      </w:footnotePr>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1)">
    <w:charset w:val="00" w:characterSet="windows-1252"/>
    <w:family w:val="swiss"/>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Extrapolating from Q1 2001 sales to CDWR, top sellers would include Mirant, Williams, Powerex and Duke. </w:t>
      </w:r>
    </w:p>
  </w:footnote>
  <w:footnote w:id="3">
    <w:p>
      <w:pPr>
        <w:pStyle w:val="FootnoteText"/>
        <w:rPr/>
      </w:pPr>
      <w:r>
        <w:rPr>
          <w:rStyle w:val="FootnoteCharacters"/>
        </w:rPr>
        <w:footnoteRef/>
      </w:r>
      <w:r>
        <w:rPr/>
        <w:t xml:space="preserve"> </w:t>
      </w:r>
      <w:r>
        <w:rPr>
          <w:rFonts w:cs="Arial" w:ascii="Arial (W1)" w:hAnsi="Arial (W1)"/>
          <w:color w:val="000000"/>
        </w:rPr>
        <w:t>Effective immediately upon passage.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648" w:hanging="288"/>
      </w:pPr>
      <w:rPr>
        <w:rFonts w:ascii="Symbol" w:hAnsi="Symbol" w:cs="Symbol" w:hint="default"/>
      </w:rPr>
    </w:lvl>
  </w:abstractNum>
  <w:abstractNum w:abstractNumId="3">
    <w:lvl w:ilvl="0">
      <w:start w:val="1"/>
      <w:numFmt w:val="bullet"/>
      <w:lvlText w:val=""/>
      <w:lvlJc w:val="start"/>
      <w:pPr>
        <w:tabs>
          <w:tab w:val="num" w:pos="504"/>
        </w:tabs>
        <w:ind w:start="504" w:hanging="360"/>
      </w:pPr>
      <w:rPr>
        <w:rFonts w:ascii="Wingdings" w:hAnsi="Wingdings" w:cs="Wingdings" w:hint="default"/>
        <w:i w:val="false"/>
        <w:b/>
      </w:rPr>
    </w:lvl>
  </w:abstractNum>
  <w:abstractNum w:abstractNumId="4">
    <w:lvl w:ilvl="0">
      <w:start w:val="1"/>
      <w:numFmt w:val="bullet"/>
      <w:lvlText w:val=""/>
      <w:lvlJc w:val="start"/>
      <w:pPr>
        <w:tabs>
          <w:tab w:val="num" w:pos="720"/>
        </w:tabs>
        <w:ind w:start="648" w:hanging="288"/>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288"/>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288"/>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textAlignment w:val="auto"/>
      <w:outlineLvl w:val="0"/>
    </w:pPr>
    <w:rPr>
      <w:rFonts w:ascii="Arial (W1)" w:hAnsi="Arial (W1)" w:cs="Arial"/>
      <w:color w:val="000000"/>
      <w:sz w:val="20"/>
      <w:u w:val="single"/>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b/>
      <w:i w:val="false"/>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textAlignment w:val="auto"/>
    </w:pPr>
    <w:rPr>
      <w:rFonts w:ascii="Arial (W1)" w:hAnsi="Arial (W1)" w:cs="Arial"/>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2001-08-30T22:55:00Z</dcterms:created>
  <dc:creator>jthome</dc:creator>
  <dc:description/>
  <dc:language>en-CA</dc:language>
  <cp:lastModifiedBy>jsteffe</cp:lastModifiedBy>
  <cp:lastPrinted>2001-08-28T17:18:00Z</cp:lastPrinted>
  <dcterms:modified xsi:type="dcterms:W3CDTF">2001-08-30T22:55:00Z</dcterms:modified>
  <cp:revision>2</cp:revision>
  <dc:subject/>
  <dc:title>Better, Faster, Simpler Memo </dc:title>
</cp:coreProperties>
</file>